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C6317E" w14:textId="5042F732" w:rsidR="002B5E8E" w:rsidRPr="00F83AE5" w:rsidRDefault="002B5E8E" w:rsidP="002B5E8E">
      <w:pPr>
        <w:spacing w:after="0" w:line="240" w:lineRule="auto"/>
        <w:ind w:firstLine="284"/>
        <w:jc w:val="center"/>
        <w:rPr>
          <w:rFonts w:ascii="Garamond" w:hAnsi="Garamond"/>
          <w:b/>
          <w:sz w:val="24"/>
        </w:rPr>
      </w:pPr>
      <w:r w:rsidRPr="00F83AE5">
        <w:rPr>
          <w:rFonts w:ascii="Garamond" w:hAnsi="Garamond"/>
          <w:b/>
          <w:sz w:val="24"/>
        </w:rPr>
        <w:t>VENDIM</w:t>
      </w:r>
    </w:p>
    <w:p w14:paraId="1765A337" w14:textId="09DCF7FC" w:rsidR="002B5E8E" w:rsidRPr="00F83AE5" w:rsidRDefault="002B5E8E" w:rsidP="002B5E8E">
      <w:pPr>
        <w:spacing w:after="0" w:line="240" w:lineRule="auto"/>
        <w:ind w:firstLine="284"/>
        <w:jc w:val="center"/>
        <w:rPr>
          <w:rFonts w:ascii="Garamond" w:hAnsi="Garamond"/>
          <w:b/>
          <w:sz w:val="24"/>
        </w:rPr>
      </w:pPr>
      <w:r w:rsidRPr="00F83AE5">
        <w:rPr>
          <w:rFonts w:ascii="Garamond" w:hAnsi="Garamond"/>
          <w:b/>
          <w:sz w:val="24"/>
        </w:rPr>
        <w:t>Nr.</w:t>
      </w:r>
      <w:r w:rsidR="00F83AE5" w:rsidRPr="00F83AE5">
        <w:rPr>
          <w:rFonts w:ascii="Garamond" w:hAnsi="Garamond"/>
          <w:b/>
          <w:sz w:val="24"/>
        </w:rPr>
        <w:t xml:space="preserve"> </w:t>
      </w:r>
      <w:r w:rsidRPr="00F83AE5">
        <w:rPr>
          <w:rFonts w:ascii="Garamond" w:hAnsi="Garamond"/>
          <w:b/>
          <w:sz w:val="24"/>
        </w:rPr>
        <w:t>763, datë 7.10.2026</w:t>
      </w:r>
    </w:p>
    <w:p w14:paraId="313332CC" w14:textId="77777777" w:rsidR="002B5E8E" w:rsidRPr="00F83AE5" w:rsidRDefault="002B5E8E" w:rsidP="002B5E8E">
      <w:pPr>
        <w:spacing w:after="0" w:line="240" w:lineRule="auto"/>
        <w:ind w:firstLine="284"/>
        <w:jc w:val="center"/>
        <w:rPr>
          <w:rFonts w:ascii="Garamond" w:hAnsi="Garamond"/>
          <w:b/>
          <w:sz w:val="24"/>
        </w:rPr>
      </w:pPr>
    </w:p>
    <w:p w14:paraId="261DC6A7" w14:textId="62DCA76F" w:rsidR="002B5E8E" w:rsidRPr="00F83AE5" w:rsidRDefault="002B5E8E" w:rsidP="002B5E8E">
      <w:pPr>
        <w:spacing w:after="0" w:line="240" w:lineRule="auto"/>
        <w:ind w:firstLine="284"/>
        <w:jc w:val="center"/>
        <w:rPr>
          <w:rFonts w:ascii="Garamond" w:hAnsi="Garamond"/>
          <w:b/>
          <w:sz w:val="24"/>
        </w:rPr>
      </w:pPr>
      <w:r w:rsidRPr="00F83AE5">
        <w:rPr>
          <w:rFonts w:ascii="Garamond" w:hAnsi="Garamond"/>
          <w:b/>
          <w:sz w:val="24"/>
        </w:rPr>
        <w:t>PËR DISA NDRYSHIME DHE SHTESA NË VENDIMIN NR.</w:t>
      </w:r>
      <w:r w:rsidR="00F83AE5">
        <w:rPr>
          <w:rFonts w:ascii="Garamond" w:hAnsi="Garamond"/>
          <w:b/>
          <w:sz w:val="24"/>
        </w:rPr>
        <w:t xml:space="preserve"> </w:t>
      </w:r>
      <w:r w:rsidRPr="00F83AE5">
        <w:rPr>
          <w:rFonts w:ascii="Garamond" w:hAnsi="Garamond"/>
          <w:b/>
          <w:sz w:val="24"/>
        </w:rPr>
        <w:t>662,</w:t>
      </w:r>
      <w:r w:rsidR="00F83AE5">
        <w:rPr>
          <w:rFonts w:ascii="Garamond" w:hAnsi="Garamond"/>
          <w:b/>
          <w:sz w:val="24"/>
        </w:rPr>
        <w:t xml:space="preserve"> </w:t>
      </w:r>
      <w:r w:rsidRPr="00F83AE5">
        <w:rPr>
          <w:rFonts w:ascii="Garamond" w:hAnsi="Garamond"/>
          <w:b/>
          <w:sz w:val="24"/>
        </w:rPr>
        <w:t>DATË 13.10.20</w:t>
      </w:r>
      <w:r w:rsidR="00F83AE5">
        <w:rPr>
          <w:rFonts w:ascii="Garamond" w:hAnsi="Garamond"/>
          <w:b/>
          <w:sz w:val="24"/>
        </w:rPr>
        <w:t>22, TË KËSHILLIT TË MINISTRAVE,</w:t>
      </w:r>
      <w:r w:rsidRPr="00F83AE5">
        <w:rPr>
          <w:rFonts w:ascii="Garamond" w:hAnsi="Garamond"/>
          <w:b/>
          <w:sz w:val="24"/>
        </w:rPr>
        <w:t xml:space="preserve"> “PËR SHPRONËSIMIN, PËR INTERES PUBLIK, TË PRONARËVE TË PASURIVE TË PALUAJTSHME, PRONË PRIVATE, QË PREKEN NGA NDËRTIMI I SEGMENTIT RRUGOR </w:t>
      </w:r>
      <w:r w:rsidR="00F83AE5">
        <w:rPr>
          <w:rFonts w:ascii="Garamond" w:hAnsi="Garamond"/>
          <w:b/>
          <w:sz w:val="24"/>
        </w:rPr>
        <w:t>‘</w:t>
      </w:r>
      <w:r w:rsidRPr="00F83AE5">
        <w:rPr>
          <w:rFonts w:ascii="Garamond" w:hAnsi="Garamond"/>
          <w:b/>
          <w:sz w:val="24"/>
        </w:rPr>
        <w:t>RISHIKIMI I PROJEKTIT PËR SEGMENTIN RRUGOR TË VAZHDIMIT TË ‘UNAZËS SË MADHE’ TIRANË NGA ‘SHESHI SHQIPONJA’ – ‘BULEVARDI</w:t>
      </w:r>
      <w:r w:rsidR="00F83AE5">
        <w:rPr>
          <w:rFonts w:ascii="Garamond" w:hAnsi="Garamond"/>
          <w:b/>
          <w:sz w:val="24"/>
        </w:rPr>
        <w:t xml:space="preserve"> </w:t>
      </w:r>
      <w:r w:rsidRPr="00F83AE5">
        <w:rPr>
          <w:rFonts w:ascii="Garamond" w:hAnsi="Garamond"/>
          <w:b/>
          <w:sz w:val="24"/>
        </w:rPr>
        <w:t>I RI’ DHE ‘RIKUALIFIKIMI I ‘UN</w:t>
      </w:r>
      <w:r w:rsidR="00F83AE5">
        <w:rPr>
          <w:rFonts w:ascii="Garamond" w:hAnsi="Garamond"/>
          <w:b/>
          <w:sz w:val="24"/>
        </w:rPr>
        <w:t>AZËS LINDORE’ PËR LOTET 4, 5, 6’’</w:t>
      </w:r>
      <w:r w:rsidRPr="00F83AE5">
        <w:rPr>
          <w:rFonts w:ascii="Garamond" w:hAnsi="Garamond"/>
          <w:b/>
          <w:sz w:val="24"/>
        </w:rPr>
        <w:t>, TË NDRYSHUAR”</w:t>
      </w:r>
    </w:p>
    <w:p w14:paraId="5F5AA9DE" w14:textId="77777777" w:rsidR="002B5E8E" w:rsidRPr="00F83AE5" w:rsidRDefault="002B5E8E" w:rsidP="002B5E8E">
      <w:pPr>
        <w:spacing w:after="0" w:line="240" w:lineRule="auto"/>
        <w:ind w:firstLine="284"/>
        <w:jc w:val="center"/>
        <w:rPr>
          <w:rFonts w:ascii="Garamond" w:hAnsi="Garamond"/>
          <w:b/>
          <w:sz w:val="24"/>
        </w:rPr>
      </w:pPr>
    </w:p>
    <w:p w14:paraId="34338224" w14:textId="2EE27E99" w:rsidR="002B5E8E" w:rsidRPr="00F83AE5" w:rsidRDefault="002B5E8E" w:rsidP="002B5E8E">
      <w:pPr>
        <w:spacing w:after="0" w:line="240" w:lineRule="auto"/>
        <w:ind w:firstLine="284"/>
        <w:jc w:val="both"/>
        <w:rPr>
          <w:rFonts w:ascii="Garamond" w:hAnsi="Garamond"/>
          <w:sz w:val="24"/>
        </w:rPr>
      </w:pPr>
      <w:r w:rsidRPr="00F83AE5">
        <w:rPr>
          <w:rFonts w:ascii="Garamond" w:hAnsi="Garamond"/>
          <w:sz w:val="24"/>
        </w:rPr>
        <w:t>Në mbështetje të nenit 100 të Kushtetutës dhe të neneve 5, 20 e 21, të</w:t>
      </w:r>
      <w:r w:rsidR="00F83AE5">
        <w:rPr>
          <w:rFonts w:ascii="Garamond" w:hAnsi="Garamond"/>
          <w:sz w:val="24"/>
        </w:rPr>
        <w:t xml:space="preserve"> </w:t>
      </w:r>
      <w:r w:rsidRPr="00F83AE5">
        <w:rPr>
          <w:rFonts w:ascii="Garamond" w:hAnsi="Garamond"/>
          <w:sz w:val="24"/>
        </w:rPr>
        <w:t>ligjit nr.</w:t>
      </w:r>
      <w:r w:rsidR="00F83AE5">
        <w:rPr>
          <w:rFonts w:ascii="Garamond" w:hAnsi="Garamond"/>
          <w:sz w:val="24"/>
        </w:rPr>
        <w:t xml:space="preserve"> </w:t>
      </w:r>
      <w:r w:rsidRPr="00F83AE5">
        <w:rPr>
          <w:rFonts w:ascii="Garamond" w:hAnsi="Garamond"/>
          <w:sz w:val="24"/>
        </w:rPr>
        <w:t>8561, datë 22.12.1999, “Për shpronësimet dhe marrjen në përdorim të përkohshëm të pasurisë</w:t>
      </w:r>
      <w:r w:rsidR="00F83AE5">
        <w:rPr>
          <w:rFonts w:ascii="Garamond" w:hAnsi="Garamond"/>
          <w:sz w:val="24"/>
        </w:rPr>
        <w:t>,</w:t>
      </w:r>
      <w:r w:rsidRPr="00F83AE5">
        <w:rPr>
          <w:rFonts w:ascii="Garamond" w:hAnsi="Garamond"/>
          <w:sz w:val="24"/>
        </w:rPr>
        <w:t xml:space="preserve"> pronë private</w:t>
      </w:r>
      <w:r w:rsidR="00F83AE5">
        <w:rPr>
          <w:rFonts w:ascii="Garamond" w:hAnsi="Garamond"/>
          <w:sz w:val="24"/>
        </w:rPr>
        <w:t>,</w:t>
      </w:r>
      <w:r w:rsidRPr="00F83AE5">
        <w:rPr>
          <w:rFonts w:ascii="Garamond" w:hAnsi="Garamond"/>
          <w:sz w:val="24"/>
        </w:rPr>
        <w:t xml:space="preserve"> për interes publik”, të ndryshuar, me propozimin e ministrit të Infrastrukturës dhe Energjisë, Këshilli i Ministrave</w:t>
      </w:r>
    </w:p>
    <w:p w14:paraId="37146669" w14:textId="77777777" w:rsidR="002B5E8E" w:rsidRPr="00F83AE5" w:rsidRDefault="002B5E8E" w:rsidP="002B5E8E">
      <w:pPr>
        <w:spacing w:after="0" w:line="240" w:lineRule="auto"/>
        <w:ind w:firstLine="284"/>
        <w:jc w:val="both"/>
        <w:rPr>
          <w:rFonts w:ascii="Garamond" w:hAnsi="Garamond"/>
          <w:sz w:val="24"/>
        </w:rPr>
      </w:pPr>
    </w:p>
    <w:p w14:paraId="24A9A0FD" w14:textId="666D286F" w:rsidR="002B5E8E" w:rsidRPr="00F83AE5" w:rsidRDefault="002B5E8E" w:rsidP="002B5E8E">
      <w:pPr>
        <w:spacing w:after="0" w:line="240" w:lineRule="auto"/>
        <w:ind w:firstLine="284"/>
        <w:jc w:val="center"/>
        <w:rPr>
          <w:rFonts w:ascii="Garamond" w:hAnsi="Garamond"/>
          <w:sz w:val="24"/>
        </w:rPr>
      </w:pPr>
      <w:r w:rsidRPr="00F83AE5">
        <w:rPr>
          <w:rFonts w:ascii="Garamond" w:hAnsi="Garamond"/>
          <w:sz w:val="24"/>
        </w:rPr>
        <w:t>VENDOSI:</w:t>
      </w:r>
    </w:p>
    <w:p w14:paraId="1A91D165" w14:textId="77777777" w:rsidR="002B5E8E" w:rsidRPr="00F83AE5" w:rsidRDefault="002B5E8E" w:rsidP="002B5E8E">
      <w:pPr>
        <w:spacing w:after="0" w:line="240" w:lineRule="auto"/>
        <w:ind w:firstLine="284"/>
        <w:jc w:val="both"/>
        <w:rPr>
          <w:rFonts w:ascii="Garamond" w:hAnsi="Garamond"/>
          <w:sz w:val="24"/>
        </w:rPr>
      </w:pPr>
    </w:p>
    <w:p w14:paraId="671ACE1B" w14:textId="7C4956CB" w:rsidR="002B5E8E" w:rsidRPr="00F83AE5" w:rsidRDefault="002B5E8E" w:rsidP="002B5E8E">
      <w:pPr>
        <w:spacing w:after="0" w:line="240" w:lineRule="auto"/>
        <w:ind w:firstLine="284"/>
        <w:jc w:val="both"/>
        <w:rPr>
          <w:rFonts w:ascii="Garamond" w:hAnsi="Garamond"/>
          <w:sz w:val="24"/>
        </w:rPr>
      </w:pPr>
      <w:r w:rsidRPr="00F83AE5">
        <w:rPr>
          <w:rFonts w:ascii="Garamond" w:hAnsi="Garamond"/>
          <w:sz w:val="24"/>
        </w:rPr>
        <w:t>1. Në vendimin nr.</w:t>
      </w:r>
      <w:r w:rsidR="00F83AE5">
        <w:rPr>
          <w:rFonts w:ascii="Garamond" w:hAnsi="Garamond"/>
          <w:sz w:val="24"/>
        </w:rPr>
        <w:t xml:space="preserve"> </w:t>
      </w:r>
      <w:r w:rsidRPr="00F83AE5">
        <w:rPr>
          <w:rFonts w:ascii="Garamond" w:hAnsi="Garamond"/>
          <w:sz w:val="24"/>
        </w:rPr>
        <w:t xml:space="preserve">662, datë 13.10.2022, të Këshillit të Ministrave, “Për shpronësimin, për interes publik, të pronarëve të pasurive të paluajtshme, pronë private, që preken nga ndërtimi i segmentit rrugor “Rishikimi i projektit për segmentin rrugor të vazhdimit të ‘Unazës së </w:t>
      </w:r>
      <w:r w:rsidR="00F83AE5" w:rsidRPr="00F83AE5">
        <w:rPr>
          <w:rFonts w:ascii="Garamond" w:hAnsi="Garamond"/>
          <w:sz w:val="24"/>
        </w:rPr>
        <w:t xml:space="preserve">Madhe’ </w:t>
      </w:r>
      <w:r w:rsidRPr="00F83AE5">
        <w:rPr>
          <w:rFonts w:ascii="Garamond" w:hAnsi="Garamond"/>
          <w:sz w:val="24"/>
        </w:rPr>
        <w:t>Tiranë nga ‘Sheshi Shqiponja’ – ‘Bulevardi i ri’ dhe ‘Rikualifikimi i ‘Un</w:t>
      </w:r>
      <w:r w:rsidR="00F83AE5">
        <w:rPr>
          <w:rFonts w:ascii="Garamond" w:hAnsi="Garamond"/>
          <w:sz w:val="24"/>
        </w:rPr>
        <w:t>azës lindore’ për lotet 4, 5, 6’’</w:t>
      </w:r>
      <w:r w:rsidRPr="00F83AE5">
        <w:rPr>
          <w:rFonts w:ascii="Garamond" w:hAnsi="Garamond"/>
          <w:sz w:val="24"/>
        </w:rPr>
        <w:t xml:space="preserve">, të ndryshuar”, bëhen ndryshimet dhe shtesat e mëposhtme: </w:t>
      </w:r>
    </w:p>
    <w:p w14:paraId="642BECAC" w14:textId="77777777" w:rsidR="002B5E8E" w:rsidRPr="00F83AE5" w:rsidRDefault="002B5E8E" w:rsidP="002B5E8E">
      <w:pPr>
        <w:spacing w:after="0" w:line="240" w:lineRule="auto"/>
        <w:ind w:firstLine="284"/>
        <w:jc w:val="both"/>
        <w:rPr>
          <w:rFonts w:ascii="Garamond" w:hAnsi="Garamond"/>
          <w:sz w:val="24"/>
        </w:rPr>
      </w:pPr>
      <w:r w:rsidRPr="00F83AE5">
        <w:rPr>
          <w:rFonts w:ascii="Garamond" w:hAnsi="Garamond"/>
          <w:sz w:val="24"/>
        </w:rPr>
        <w:t xml:space="preserve">a) Pika 3 ndryshohet, si më poshtë vijon: </w:t>
      </w:r>
    </w:p>
    <w:p w14:paraId="5C4EC5AD" w14:textId="77777777" w:rsidR="002B5E8E" w:rsidRPr="00F83AE5" w:rsidRDefault="002B5E8E" w:rsidP="002B5E8E">
      <w:pPr>
        <w:spacing w:after="0" w:line="240" w:lineRule="auto"/>
        <w:ind w:firstLine="284"/>
        <w:jc w:val="both"/>
        <w:rPr>
          <w:rFonts w:ascii="Garamond" w:hAnsi="Garamond"/>
          <w:sz w:val="24"/>
        </w:rPr>
      </w:pPr>
      <w:r w:rsidRPr="00F83AE5">
        <w:rPr>
          <w:rFonts w:ascii="Garamond" w:hAnsi="Garamond"/>
          <w:sz w:val="24"/>
        </w:rPr>
        <w:t xml:space="preserve">“3. Pronarët e pasurive të paluajtshme, pronë private, që shpronësohen, kompensohen në vlerë të plotë, sipas masës përkatëse, që paraqitet në tabelën bashkëlidhur këtij vendimi, për pasuritë e llojit “truall”, “tokë arë”, “ndërtesë”, “apartament”, “njësi” dhe “bodrum”, me një vlerë të përgjithshme prej 4 289 967 687.6 (katër miliardë e dyqind e tetëdhjetë e nëntë milionë e nëntëqind e gjashtëdhjetë e shtatë mijë e gjashtëqind e tetëdhjetë e shtatë pikë gjashtë) lekësh.”. </w:t>
      </w:r>
    </w:p>
    <w:p w14:paraId="572F9DFF" w14:textId="2E3E4424" w:rsidR="002B5E8E" w:rsidRPr="00F83AE5" w:rsidRDefault="002B5E8E" w:rsidP="00F83AE5">
      <w:pPr>
        <w:spacing w:after="0" w:line="240" w:lineRule="auto"/>
        <w:ind w:firstLine="284"/>
        <w:jc w:val="both"/>
        <w:rPr>
          <w:rFonts w:ascii="Garamond" w:hAnsi="Garamond"/>
          <w:sz w:val="24"/>
        </w:rPr>
      </w:pPr>
      <w:r w:rsidRPr="00F83AE5">
        <w:rPr>
          <w:rFonts w:ascii="Garamond" w:hAnsi="Garamond"/>
          <w:sz w:val="24"/>
        </w:rPr>
        <w:t>b) Në pikën 4 bëhen këto ndryshime:</w:t>
      </w:r>
    </w:p>
    <w:p w14:paraId="58CD13B4" w14:textId="4F58FBB7" w:rsidR="002B5E8E" w:rsidRPr="00F83AE5" w:rsidRDefault="002B5E8E" w:rsidP="002B5E8E">
      <w:pPr>
        <w:spacing w:after="0" w:line="240" w:lineRule="auto"/>
        <w:ind w:firstLine="284"/>
        <w:jc w:val="both"/>
        <w:rPr>
          <w:rFonts w:ascii="Garamond" w:hAnsi="Garamond"/>
          <w:sz w:val="24"/>
        </w:rPr>
      </w:pPr>
      <w:r w:rsidRPr="00F83AE5">
        <w:rPr>
          <w:rFonts w:ascii="Garamond" w:hAnsi="Garamond"/>
          <w:sz w:val="24"/>
        </w:rPr>
        <w:t xml:space="preserve">i. </w:t>
      </w:r>
      <w:r w:rsidR="00F83AE5" w:rsidRPr="00F83AE5">
        <w:rPr>
          <w:rFonts w:ascii="Garamond" w:hAnsi="Garamond"/>
          <w:sz w:val="24"/>
        </w:rPr>
        <w:t xml:space="preserve">në </w:t>
      </w:r>
      <w:r w:rsidRPr="00F83AE5">
        <w:rPr>
          <w:rFonts w:ascii="Garamond" w:hAnsi="Garamond"/>
          <w:sz w:val="24"/>
        </w:rPr>
        <w:t>fjalinë hyrëse, vlera e përgjithshme e shpronësimit prej</w:t>
      </w:r>
      <w:r w:rsidR="00F83AE5">
        <w:rPr>
          <w:rFonts w:ascii="Garamond" w:hAnsi="Garamond"/>
          <w:sz w:val="24"/>
        </w:rPr>
        <w:t xml:space="preserve"> </w:t>
      </w:r>
      <w:r w:rsidRPr="00F83AE5">
        <w:rPr>
          <w:rFonts w:ascii="Garamond" w:hAnsi="Garamond"/>
          <w:sz w:val="24"/>
        </w:rPr>
        <w:t>“... 4 287 593 896 (katër miliardë e dyqind e tetëdhjetë e shtatë milionë e pesëqind e nëntëdhjetë e tre mijë e tetëqind e nëntëdhjetë e gjashtë) lekësh ...” zëvendësohet me vlerën “... 4 289 967 687.6 (katër miliardë e dyqind e tetëdhjetë e nëntë milionë e nëntëqind e gjashtëdhjetë e shtatë mijë e gjashtëqind e tetëdhjetë e sh</w:t>
      </w:r>
      <w:r w:rsidR="00F83AE5">
        <w:rPr>
          <w:rFonts w:ascii="Garamond" w:hAnsi="Garamond"/>
          <w:sz w:val="24"/>
        </w:rPr>
        <w:t>tatë pikë gjashtë) lekësh ...”;</w:t>
      </w:r>
    </w:p>
    <w:p w14:paraId="4E79D8F3" w14:textId="27AD4024" w:rsidR="002B5E8E" w:rsidRPr="00F83AE5" w:rsidRDefault="002B5E8E" w:rsidP="002B5E8E">
      <w:pPr>
        <w:spacing w:after="0" w:line="240" w:lineRule="auto"/>
        <w:ind w:firstLine="284"/>
        <w:jc w:val="both"/>
        <w:rPr>
          <w:rFonts w:ascii="Garamond" w:hAnsi="Garamond"/>
          <w:sz w:val="24"/>
        </w:rPr>
      </w:pPr>
      <w:r w:rsidRPr="00F83AE5">
        <w:rPr>
          <w:rFonts w:ascii="Garamond" w:hAnsi="Garamond"/>
          <w:sz w:val="24"/>
        </w:rPr>
        <w:t xml:space="preserve">ii. </w:t>
      </w:r>
      <w:r w:rsidR="00F83AE5">
        <w:rPr>
          <w:rFonts w:ascii="Garamond" w:hAnsi="Garamond"/>
          <w:sz w:val="24"/>
        </w:rPr>
        <w:t>n</w:t>
      </w:r>
      <w:r w:rsidRPr="00F83AE5">
        <w:rPr>
          <w:rFonts w:ascii="Garamond" w:hAnsi="Garamond"/>
          <w:sz w:val="24"/>
        </w:rPr>
        <w:t>ë shkronjën “a”, vlera prej “... 4 164 885 397 (katër miliardë e njëqind e gjashtëdhjetë e katër milionë e tetëqind e tetëdhjetë e pesë mijë e treqind e nëntëdhjetë e shtatë) lekësh ...” zëvendësohet me vlerën “... 4 167 259 188.6 (katër miliardë e njëqind e gjashtëdhjetë e shtatë milionë e dyqind e pesëdhjetë e nëntë mijë e njëqind e tetëdhjetë e tetë pikë gjashtë) lekësh ...”.</w:t>
      </w:r>
    </w:p>
    <w:p w14:paraId="07AFEB60" w14:textId="77777777" w:rsidR="002B5E8E" w:rsidRPr="00F83AE5" w:rsidRDefault="002B5E8E" w:rsidP="002B5E8E">
      <w:pPr>
        <w:spacing w:after="0" w:line="240" w:lineRule="auto"/>
        <w:ind w:firstLine="284"/>
        <w:jc w:val="both"/>
        <w:rPr>
          <w:rFonts w:ascii="Garamond" w:hAnsi="Garamond"/>
          <w:sz w:val="24"/>
        </w:rPr>
      </w:pPr>
      <w:r w:rsidRPr="00F83AE5">
        <w:rPr>
          <w:rFonts w:ascii="Garamond" w:hAnsi="Garamond"/>
          <w:sz w:val="24"/>
        </w:rPr>
        <w:t xml:space="preserve">c) Në tabelën bashkëlidhur vendimit, pas numrit rendor 340 shtohet pasuria me numër rendor 341, sipas tabelës, që i bashkëlidhet këtij vendimi. </w:t>
      </w:r>
    </w:p>
    <w:p w14:paraId="361C0328" w14:textId="391EFBDF" w:rsidR="002B5E8E" w:rsidRPr="00F83AE5" w:rsidRDefault="002B5E8E" w:rsidP="002B5E8E">
      <w:pPr>
        <w:spacing w:after="0" w:line="240" w:lineRule="auto"/>
        <w:ind w:firstLine="284"/>
        <w:jc w:val="both"/>
        <w:rPr>
          <w:rFonts w:ascii="Garamond" w:hAnsi="Garamond"/>
          <w:sz w:val="24"/>
        </w:rPr>
      </w:pPr>
      <w:r w:rsidRPr="00F83AE5">
        <w:rPr>
          <w:rFonts w:ascii="Garamond" w:hAnsi="Garamond"/>
          <w:sz w:val="24"/>
        </w:rPr>
        <w:t>2.</w:t>
      </w:r>
      <w:r w:rsidR="00F83AE5">
        <w:rPr>
          <w:rFonts w:ascii="Garamond" w:hAnsi="Garamond"/>
          <w:sz w:val="24"/>
        </w:rPr>
        <w:t xml:space="preserve"> </w:t>
      </w:r>
      <w:r w:rsidRPr="00F83AE5">
        <w:rPr>
          <w:rFonts w:ascii="Garamond" w:hAnsi="Garamond"/>
          <w:sz w:val="24"/>
        </w:rPr>
        <w:t>Shpenzimet procedurale, në vlerën 50 000 (pesëdhjetë mijë) lekë, përballohen nga Autoriteti Rrugor Shqiptar.</w:t>
      </w:r>
    </w:p>
    <w:p w14:paraId="20E8FE57" w14:textId="563D894C" w:rsidR="002B5E8E" w:rsidRPr="00F83AE5" w:rsidRDefault="002B5E8E" w:rsidP="002B5E8E">
      <w:pPr>
        <w:spacing w:after="0" w:line="240" w:lineRule="auto"/>
        <w:ind w:firstLine="284"/>
        <w:jc w:val="both"/>
        <w:rPr>
          <w:rFonts w:ascii="Garamond" w:hAnsi="Garamond"/>
          <w:sz w:val="24"/>
        </w:rPr>
      </w:pPr>
      <w:r w:rsidRPr="00F83AE5">
        <w:rPr>
          <w:rFonts w:ascii="Garamond" w:hAnsi="Garamond"/>
          <w:sz w:val="24"/>
        </w:rPr>
        <w:t>3.</w:t>
      </w:r>
      <w:r w:rsidR="00F83AE5">
        <w:rPr>
          <w:rFonts w:ascii="Garamond" w:hAnsi="Garamond"/>
          <w:sz w:val="24"/>
        </w:rPr>
        <w:t xml:space="preserve"> </w:t>
      </w:r>
      <w:r w:rsidRPr="00F83AE5">
        <w:rPr>
          <w:rFonts w:ascii="Garamond" w:hAnsi="Garamond"/>
          <w:sz w:val="24"/>
        </w:rPr>
        <w:t>Ngarkohen Ministria e Infrastrukturës dhe Energjisë, Ministria e Financave, Autoriteti Rrugor Shqiptar, Agjencia Shtetërore për Shpronësimin, si dhe Agjencia Shtetërore e Kadastrës, Drejtoria Vendore Tiranë Ju</w:t>
      </w:r>
      <w:r w:rsidR="00F83AE5">
        <w:rPr>
          <w:rFonts w:ascii="Garamond" w:hAnsi="Garamond"/>
          <w:sz w:val="24"/>
        </w:rPr>
        <w:t>g</w:t>
      </w:r>
      <w:r w:rsidRPr="00F83AE5">
        <w:rPr>
          <w:rFonts w:ascii="Garamond" w:hAnsi="Garamond"/>
          <w:sz w:val="24"/>
        </w:rPr>
        <w:t xml:space="preserve"> për zbatimin e këtij vendimi.</w:t>
      </w:r>
    </w:p>
    <w:p w14:paraId="247C70D1" w14:textId="6A4FA657" w:rsidR="002B5E8E" w:rsidRPr="00F83AE5" w:rsidRDefault="00F83AE5" w:rsidP="002B5E8E">
      <w:pPr>
        <w:spacing w:after="0" w:line="240" w:lineRule="auto"/>
        <w:ind w:firstLine="284"/>
        <w:jc w:val="both"/>
        <w:rPr>
          <w:rFonts w:ascii="Garamond" w:hAnsi="Garamond"/>
          <w:sz w:val="24"/>
        </w:rPr>
      </w:pPr>
      <w:r>
        <w:rPr>
          <w:rFonts w:ascii="Garamond" w:hAnsi="Garamond"/>
          <w:sz w:val="24"/>
        </w:rPr>
        <w:t xml:space="preserve"> </w:t>
      </w:r>
      <w:r w:rsidR="002B5E8E" w:rsidRPr="00F83AE5">
        <w:rPr>
          <w:rFonts w:ascii="Garamond" w:hAnsi="Garamond"/>
          <w:sz w:val="24"/>
        </w:rPr>
        <w:t>Ky vendim hyn në fuqi menjëherë d</w:t>
      </w:r>
      <w:r>
        <w:rPr>
          <w:rFonts w:ascii="Garamond" w:hAnsi="Garamond"/>
          <w:sz w:val="24"/>
        </w:rPr>
        <w:t>he botohet në Fletoren Zyrtare.</w:t>
      </w:r>
    </w:p>
    <w:p w14:paraId="1EB6C519" w14:textId="62105FAE" w:rsidR="00E10D27" w:rsidRPr="00F83AE5" w:rsidRDefault="00E10D27" w:rsidP="002B5E8E">
      <w:pPr>
        <w:spacing w:after="0" w:line="240" w:lineRule="auto"/>
        <w:ind w:firstLine="284"/>
        <w:jc w:val="both"/>
        <w:rPr>
          <w:rFonts w:ascii="Garamond" w:hAnsi="Garamond"/>
          <w:sz w:val="24"/>
        </w:rPr>
      </w:pPr>
    </w:p>
    <w:p w14:paraId="4C9ACFF2" w14:textId="77777777" w:rsidR="002B5E8E" w:rsidRPr="00F83AE5" w:rsidRDefault="002B5E8E" w:rsidP="002B5E8E">
      <w:pPr>
        <w:spacing w:after="0" w:line="240" w:lineRule="auto"/>
        <w:ind w:firstLine="284"/>
        <w:jc w:val="right"/>
        <w:rPr>
          <w:rFonts w:ascii="Garamond" w:hAnsi="Garamond"/>
          <w:sz w:val="24"/>
          <w:szCs w:val="24"/>
        </w:rPr>
      </w:pPr>
      <w:r w:rsidRPr="00F83AE5">
        <w:rPr>
          <w:rFonts w:ascii="Garamond" w:hAnsi="Garamond"/>
          <w:sz w:val="24"/>
          <w:szCs w:val="24"/>
        </w:rPr>
        <w:t>KRYEMINISTËR</w:t>
      </w:r>
    </w:p>
    <w:p w14:paraId="6A286668" w14:textId="397A7E3E" w:rsidR="002B5E8E" w:rsidRPr="00F83AE5" w:rsidRDefault="002B5E8E" w:rsidP="002B5E8E">
      <w:pPr>
        <w:spacing w:after="0" w:line="240" w:lineRule="auto"/>
        <w:ind w:firstLine="284"/>
        <w:jc w:val="right"/>
        <w:rPr>
          <w:rFonts w:ascii="Garamond" w:hAnsi="Garamond"/>
          <w:b/>
          <w:sz w:val="24"/>
          <w:szCs w:val="24"/>
        </w:rPr>
      </w:pPr>
      <w:r w:rsidRPr="00F83AE5">
        <w:rPr>
          <w:rFonts w:ascii="Garamond" w:hAnsi="Garamond"/>
          <w:b/>
          <w:sz w:val="24"/>
          <w:szCs w:val="24"/>
        </w:rPr>
        <w:t>Edi Rama</w:t>
      </w:r>
    </w:p>
    <w:p w14:paraId="10F62C76" w14:textId="77777777" w:rsidR="000D6573" w:rsidRPr="00F83AE5" w:rsidRDefault="000D6573" w:rsidP="002B5E8E">
      <w:pPr>
        <w:spacing w:after="0" w:line="240" w:lineRule="auto"/>
        <w:ind w:firstLine="284"/>
        <w:jc w:val="right"/>
        <w:rPr>
          <w:rFonts w:ascii="Garamond" w:hAnsi="Garamond"/>
          <w:b/>
          <w:sz w:val="24"/>
          <w:szCs w:val="24"/>
        </w:rPr>
        <w:sectPr w:rsidR="000D6573" w:rsidRPr="00F83AE5" w:rsidSect="00486E6D">
          <w:pgSz w:w="11906" w:h="16838" w:code="9"/>
          <w:pgMar w:top="1440" w:right="1440" w:bottom="8" w:left="1440" w:header="720" w:footer="720" w:gutter="0"/>
          <w:cols w:space="720"/>
          <w:docGrid w:linePitch="360"/>
        </w:sectPr>
      </w:pPr>
    </w:p>
    <w:p w14:paraId="690FB47C" w14:textId="3D6FCA9E" w:rsidR="00791B97" w:rsidRPr="00A914C1" w:rsidRDefault="00791B97" w:rsidP="00A914C1">
      <w:pPr>
        <w:spacing w:after="0" w:line="240" w:lineRule="auto"/>
        <w:ind w:firstLine="284"/>
        <w:jc w:val="center"/>
        <w:rPr>
          <w:rFonts w:ascii="Garamond" w:hAnsi="Garamond"/>
          <w:sz w:val="24"/>
        </w:rPr>
      </w:pPr>
      <w:r w:rsidRPr="00A914C1">
        <w:rPr>
          <w:rFonts w:ascii="Garamond" w:hAnsi="Garamond"/>
          <w:sz w:val="24"/>
        </w:rPr>
        <w:lastRenderedPageBreak/>
        <w:t>LISTA EMËRORE E PRONARËVE QË SHPRONËSOHEN NGA REALIZIMI I PROJEKTIT PËR DISA SHTESA DHE NDRYSHIME NË VENDIMIN NR. 662, DATË 13.10.2022, “PËR SHPRONËSIMIN,</w:t>
      </w:r>
      <w:r w:rsidR="00A914C1">
        <w:rPr>
          <w:rFonts w:ascii="Garamond" w:hAnsi="Garamond"/>
          <w:sz w:val="24"/>
        </w:rPr>
        <w:t xml:space="preserve"> </w:t>
      </w:r>
      <w:r w:rsidRPr="00A914C1">
        <w:rPr>
          <w:rFonts w:ascii="Garamond" w:hAnsi="Garamond"/>
          <w:sz w:val="24"/>
        </w:rPr>
        <w:t xml:space="preserve">PËR INTERES PUBLIK, TË PRONARËVE TË PASURIVE TË PALUAJTSHME, PRONË PRIVATE, QË PREKEN NGA NDËRTIMI I SEGMENTIT RRUGOR </w:t>
      </w:r>
      <w:r w:rsidR="00A914C1">
        <w:rPr>
          <w:rFonts w:ascii="Garamond" w:hAnsi="Garamond"/>
          <w:sz w:val="24"/>
        </w:rPr>
        <w:t>‘</w:t>
      </w:r>
      <w:r w:rsidRPr="00A914C1">
        <w:rPr>
          <w:rFonts w:ascii="Garamond" w:hAnsi="Garamond"/>
          <w:sz w:val="24"/>
        </w:rPr>
        <w:t>RISHIKIMI I PROJEKTIT PËR</w:t>
      </w:r>
    </w:p>
    <w:p w14:paraId="1A8BF129" w14:textId="16F8F50E" w:rsidR="00791B97" w:rsidRPr="00A914C1" w:rsidRDefault="00791B97" w:rsidP="00791B97">
      <w:pPr>
        <w:spacing w:after="0" w:line="240" w:lineRule="auto"/>
        <w:ind w:firstLine="284"/>
        <w:jc w:val="center"/>
        <w:rPr>
          <w:rFonts w:ascii="Garamond" w:hAnsi="Garamond"/>
          <w:sz w:val="24"/>
        </w:rPr>
      </w:pPr>
      <w:r w:rsidRPr="00A914C1">
        <w:rPr>
          <w:rFonts w:ascii="Garamond" w:hAnsi="Garamond"/>
          <w:sz w:val="24"/>
        </w:rPr>
        <w:t>SEGMENTIN RRUGOR TË VAZHDIMIT TË ‘UNAZËS SË MADHE’ TIRANË NGA ‘SHESHI SHQIPONJA’ – ‘BULEVARDI I RI’ DHE ‘RIKUALIFIKIMI I ‘</w:t>
      </w:r>
      <w:r w:rsidR="00A914C1">
        <w:rPr>
          <w:rFonts w:ascii="Garamond" w:hAnsi="Garamond"/>
          <w:sz w:val="24"/>
        </w:rPr>
        <w:t>UNAZËS LINDORE’ PËR LOTET 4,5,6’’</w:t>
      </w:r>
      <w:r w:rsidRPr="00A914C1">
        <w:rPr>
          <w:rFonts w:ascii="Garamond" w:hAnsi="Garamond"/>
          <w:sz w:val="24"/>
        </w:rPr>
        <w:t>, TË</w:t>
      </w:r>
    </w:p>
    <w:p w14:paraId="5D3A6139" w14:textId="397A7E3E" w:rsidR="000D6573" w:rsidRPr="00A914C1" w:rsidRDefault="00791B97" w:rsidP="00791B97">
      <w:pPr>
        <w:spacing w:after="0" w:line="240" w:lineRule="auto"/>
        <w:ind w:firstLine="284"/>
        <w:jc w:val="center"/>
        <w:rPr>
          <w:rFonts w:ascii="Garamond" w:hAnsi="Garamond"/>
          <w:sz w:val="24"/>
        </w:rPr>
      </w:pPr>
      <w:r w:rsidRPr="00A914C1">
        <w:rPr>
          <w:rFonts w:ascii="Garamond" w:hAnsi="Garamond"/>
          <w:sz w:val="24"/>
        </w:rPr>
        <w:t>NDRYSHUAR</w:t>
      </w:r>
    </w:p>
    <w:p w14:paraId="2B49D815" w14:textId="77777777" w:rsidR="00791B97" w:rsidRDefault="00791B97" w:rsidP="00791B97">
      <w:pPr>
        <w:spacing w:after="0" w:line="240" w:lineRule="auto"/>
        <w:ind w:firstLine="284"/>
        <w:jc w:val="center"/>
        <w:rPr>
          <w:rFonts w:ascii="Garamond" w:hAnsi="Garamond"/>
          <w:b/>
          <w:sz w:val="24"/>
        </w:rPr>
      </w:pPr>
    </w:p>
    <w:tbl>
      <w:tblPr>
        <w:tblW w:w="5154" w:type="pct"/>
        <w:jc w:val="center"/>
        <w:tblLook w:val="04A0" w:firstRow="1" w:lastRow="0" w:firstColumn="1" w:lastColumn="0" w:noHBand="0" w:noVBand="1"/>
      </w:tblPr>
      <w:tblGrid>
        <w:gridCol w:w="390"/>
        <w:gridCol w:w="550"/>
        <w:gridCol w:w="530"/>
        <w:gridCol w:w="659"/>
        <w:gridCol w:w="735"/>
        <w:gridCol w:w="638"/>
        <w:gridCol w:w="638"/>
        <w:gridCol w:w="499"/>
        <w:gridCol w:w="840"/>
        <w:gridCol w:w="733"/>
        <w:gridCol w:w="808"/>
        <w:gridCol w:w="499"/>
        <w:gridCol w:w="840"/>
        <w:gridCol w:w="714"/>
        <w:gridCol w:w="483"/>
        <w:gridCol w:w="499"/>
        <w:gridCol w:w="840"/>
        <w:gridCol w:w="755"/>
        <w:gridCol w:w="499"/>
        <w:gridCol w:w="840"/>
        <w:gridCol w:w="568"/>
        <w:gridCol w:w="483"/>
        <w:gridCol w:w="808"/>
        <w:gridCol w:w="658"/>
      </w:tblGrid>
      <w:tr w:rsidR="00791B97" w:rsidRPr="00791B97" w14:paraId="301F9780" w14:textId="77777777" w:rsidTr="00791B97">
        <w:trPr>
          <w:trHeight w:val="20"/>
          <w:jc w:val="center"/>
        </w:trPr>
        <w:tc>
          <w:tcPr>
            <w:tcW w:w="270" w:type="pct"/>
            <w:vMerge w:val="restart"/>
            <w:tcBorders>
              <w:top w:val="single" w:sz="4" w:space="0" w:color="auto"/>
              <w:left w:val="single" w:sz="4" w:space="0" w:color="auto"/>
              <w:bottom w:val="single" w:sz="4" w:space="0" w:color="auto"/>
              <w:right w:val="single" w:sz="4" w:space="0" w:color="auto"/>
            </w:tcBorders>
            <w:shd w:val="clear" w:color="000000" w:fill="AEAAAA"/>
            <w:noWrap/>
            <w:vAlign w:val="center"/>
            <w:hideMark/>
          </w:tcPr>
          <w:p w14:paraId="1A8DEE53" w14:textId="4AA4BD4B"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Nr</w:t>
            </w:r>
            <w:r w:rsidR="00A914C1">
              <w:rPr>
                <w:rFonts w:ascii="Garamond" w:eastAsia="Times New Roman" w:hAnsi="Garamond" w:cs="Times New Roman"/>
                <w:b/>
                <w:bCs/>
                <w:sz w:val="12"/>
                <w:szCs w:val="24"/>
                <w:lang w:eastAsia="sq-AL"/>
              </w:rPr>
              <w:t>.</w:t>
            </w:r>
          </w:p>
        </w:tc>
        <w:tc>
          <w:tcPr>
            <w:tcW w:w="171" w:type="pct"/>
            <w:vMerge w:val="restart"/>
            <w:tcBorders>
              <w:top w:val="single" w:sz="4" w:space="0" w:color="auto"/>
              <w:left w:val="single" w:sz="4" w:space="0" w:color="auto"/>
              <w:bottom w:val="single" w:sz="4" w:space="0" w:color="auto"/>
              <w:right w:val="single" w:sz="4" w:space="0" w:color="auto"/>
            </w:tcBorders>
            <w:shd w:val="clear" w:color="000000" w:fill="AEAAAA"/>
            <w:vAlign w:val="center"/>
            <w:hideMark/>
          </w:tcPr>
          <w:p w14:paraId="51FCA145"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Emri</w:t>
            </w:r>
          </w:p>
        </w:tc>
        <w:tc>
          <w:tcPr>
            <w:tcW w:w="165" w:type="pct"/>
            <w:vMerge w:val="restart"/>
            <w:tcBorders>
              <w:top w:val="single" w:sz="4" w:space="0" w:color="auto"/>
              <w:left w:val="single" w:sz="4" w:space="0" w:color="auto"/>
              <w:bottom w:val="single" w:sz="4" w:space="0" w:color="auto"/>
              <w:right w:val="single" w:sz="4" w:space="0" w:color="auto"/>
            </w:tcBorders>
            <w:shd w:val="clear" w:color="000000" w:fill="AEAAAA"/>
            <w:noWrap/>
            <w:vAlign w:val="center"/>
            <w:hideMark/>
          </w:tcPr>
          <w:p w14:paraId="63C3B9F8"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Atësia</w:t>
            </w:r>
          </w:p>
        </w:tc>
        <w:tc>
          <w:tcPr>
            <w:tcW w:w="201" w:type="pct"/>
            <w:vMerge w:val="restart"/>
            <w:tcBorders>
              <w:top w:val="single" w:sz="4" w:space="0" w:color="auto"/>
              <w:left w:val="single" w:sz="4" w:space="0" w:color="auto"/>
              <w:bottom w:val="single" w:sz="4" w:space="0" w:color="auto"/>
              <w:right w:val="single" w:sz="4" w:space="0" w:color="auto"/>
            </w:tcBorders>
            <w:shd w:val="clear" w:color="000000" w:fill="AEAAAA"/>
            <w:noWrap/>
            <w:vAlign w:val="center"/>
            <w:hideMark/>
          </w:tcPr>
          <w:p w14:paraId="66C23A21"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Mbiemri</w:t>
            </w:r>
          </w:p>
        </w:tc>
        <w:tc>
          <w:tcPr>
            <w:tcW w:w="623" w:type="pct"/>
            <w:gridSpan w:val="3"/>
            <w:tcBorders>
              <w:top w:val="single" w:sz="4" w:space="0" w:color="auto"/>
              <w:left w:val="nil"/>
              <w:bottom w:val="single" w:sz="4" w:space="0" w:color="auto"/>
              <w:right w:val="single" w:sz="4" w:space="0" w:color="auto"/>
            </w:tcBorders>
            <w:shd w:val="clear" w:color="000000" w:fill="AEAAAA"/>
            <w:noWrap/>
            <w:vAlign w:val="center"/>
            <w:hideMark/>
          </w:tcPr>
          <w:p w14:paraId="443CF86D" w14:textId="213442C1" w:rsidR="00791B97" w:rsidRPr="00791B97" w:rsidRDefault="00A914C1"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Të dhënat e pasurisë</w:t>
            </w:r>
          </w:p>
        </w:tc>
        <w:tc>
          <w:tcPr>
            <w:tcW w:w="888" w:type="pct"/>
            <w:gridSpan w:val="4"/>
            <w:vMerge w:val="restart"/>
            <w:tcBorders>
              <w:top w:val="single" w:sz="4" w:space="0" w:color="auto"/>
              <w:left w:val="single" w:sz="4" w:space="0" w:color="auto"/>
              <w:bottom w:val="single" w:sz="4" w:space="0" w:color="auto"/>
              <w:right w:val="single" w:sz="4" w:space="0" w:color="auto"/>
            </w:tcBorders>
            <w:shd w:val="clear" w:color="000000" w:fill="AEAAAA"/>
            <w:vAlign w:val="center"/>
            <w:hideMark/>
          </w:tcPr>
          <w:p w14:paraId="721351C6" w14:textId="4573F9F9" w:rsidR="00791B97" w:rsidRPr="00791B97" w:rsidRDefault="00A914C1" w:rsidP="00A914C1">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 xml:space="preserve">Tokë </w:t>
            </w:r>
            <w:r>
              <w:rPr>
                <w:rFonts w:ascii="Garamond" w:eastAsia="Times New Roman" w:hAnsi="Garamond" w:cs="Times New Roman"/>
                <w:b/>
                <w:bCs/>
                <w:sz w:val="12"/>
                <w:szCs w:val="24"/>
                <w:lang w:eastAsia="sq-AL"/>
              </w:rPr>
              <w:t>“</w:t>
            </w:r>
            <w:r w:rsidRPr="00791B97">
              <w:rPr>
                <w:rFonts w:ascii="Garamond" w:eastAsia="Times New Roman" w:hAnsi="Garamond" w:cs="Times New Roman"/>
                <w:b/>
                <w:bCs/>
                <w:sz w:val="12"/>
                <w:szCs w:val="24"/>
                <w:lang w:eastAsia="sq-AL"/>
              </w:rPr>
              <w:t>truall</w:t>
            </w:r>
            <w:r>
              <w:rPr>
                <w:rFonts w:ascii="Garamond" w:eastAsia="Times New Roman" w:hAnsi="Garamond" w:cs="Times New Roman"/>
                <w:b/>
                <w:bCs/>
                <w:sz w:val="12"/>
                <w:szCs w:val="24"/>
                <w:lang w:eastAsia="sq-AL"/>
              </w:rPr>
              <w:t>”</w:t>
            </w:r>
          </w:p>
        </w:tc>
        <w:tc>
          <w:tcPr>
            <w:tcW w:w="795" w:type="pct"/>
            <w:gridSpan w:val="4"/>
            <w:vMerge w:val="restart"/>
            <w:tcBorders>
              <w:top w:val="single" w:sz="4" w:space="0" w:color="auto"/>
              <w:left w:val="single" w:sz="4" w:space="0" w:color="auto"/>
              <w:bottom w:val="single" w:sz="4" w:space="0" w:color="auto"/>
              <w:right w:val="single" w:sz="4" w:space="0" w:color="auto"/>
            </w:tcBorders>
            <w:shd w:val="clear" w:color="000000" w:fill="AEAAAA"/>
            <w:noWrap/>
            <w:vAlign w:val="center"/>
            <w:hideMark/>
          </w:tcPr>
          <w:p w14:paraId="6A351383" w14:textId="3017D9D5" w:rsidR="00791B97" w:rsidRPr="00791B97" w:rsidRDefault="00A914C1" w:rsidP="00A914C1">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 xml:space="preserve">Tokë </w:t>
            </w:r>
            <w:r>
              <w:rPr>
                <w:rFonts w:ascii="Garamond" w:eastAsia="Times New Roman" w:hAnsi="Garamond" w:cs="Times New Roman"/>
                <w:b/>
                <w:bCs/>
                <w:sz w:val="12"/>
                <w:szCs w:val="24"/>
                <w:lang w:eastAsia="sq-AL"/>
              </w:rPr>
              <w:t>“</w:t>
            </w:r>
            <w:r w:rsidRPr="00791B97">
              <w:rPr>
                <w:rFonts w:ascii="Garamond" w:eastAsia="Times New Roman" w:hAnsi="Garamond" w:cs="Times New Roman"/>
                <w:b/>
                <w:bCs/>
                <w:sz w:val="12"/>
                <w:szCs w:val="24"/>
                <w:lang w:eastAsia="sq-AL"/>
              </w:rPr>
              <w:t>arë</w:t>
            </w:r>
            <w:r>
              <w:rPr>
                <w:rFonts w:ascii="Garamond" w:eastAsia="Times New Roman" w:hAnsi="Garamond" w:cs="Times New Roman"/>
                <w:b/>
                <w:bCs/>
                <w:sz w:val="12"/>
                <w:szCs w:val="24"/>
                <w:lang w:eastAsia="sq-AL"/>
              </w:rPr>
              <w:t>”</w:t>
            </w:r>
          </w:p>
        </w:tc>
        <w:tc>
          <w:tcPr>
            <w:tcW w:w="650" w:type="pct"/>
            <w:gridSpan w:val="3"/>
            <w:vMerge w:val="restart"/>
            <w:tcBorders>
              <w:top w:val="single" w:sz="4" w:space="0" w:color="auto"/>
              <w:left w:val="single" w:sz="4" w:space="0" w:color="auto"/>
              <w:bottom w:val="single" w:sz="4" w:space="0" w:color="auto"/>
              <w:right w:val="single" w:sz="4" w:space="0" w:color="auto"/>
            </w:tcBorders>
            <w:shd w:val="clear" w:color="000000" w:fill="AEAAAA"/>
            <w:noWrap/>
            <w:vAlign w:val="center"/>
            <w:hideMark/>
          </w:tcPr>
          <w:p w14:paraId="113A68BA" w14:textId="4577AE04" w:rsidR="00791B97" w:rsidRPr="00791B97" w:rsidRDefault="00A914C1" w:rsidP="00791B97">
            <w:pPr>
              <w:spacing w:after="0" w:line="240" w:lineRule="auto"/>
              <w:jc w:val="center"/>
              <w:rPr>
                <w:rFonts w:ascii="Garamond" w:eastAsia="Times New Roman" w:hAnsi="Garamond" w:cs="Times New Roman"/>
                <w:b/>
                <w:bCs/>
                <w:sz w:val="12"/>
                <w:szCs w:val="24"/>
                <w:lang w:eastAsia="sq-AL"/>
              </w:rPr>
            </w:pPr>
            <w:r>
              <w:rPr>
                <w:rFonts w:ascii="Garamond" w:eastAsia="Times New Roman" w:hAnsi="Garamond" w:cs="Times New Roman"/>
                <w:b/>
                <w:bCs/>
                <w:sz w:val="12"/>
                <w:szCs w:val="24"/>
                <w:lang w:eastAsia="sq-AL"/>
              </w:rPr>
              <w:t xml:space="preserve">Ndërtesë </w:t>
            </w:r>
            <w:bookmarkStart w:id="0" w:name="_GoBack"/>
            <w:bookmarkEnd w:id="0"/>
            <w:r>
              <w:rPr>
                <w:rFonts w:ascii="Garamond" w:eastAsia="Times New Roman" w:hAnsi="Garamond" w:cs="Times New Roman"/>
                <w:b/>
                <w:bCs/>
                <w:sz w:val="12"/>
                <w:szCs w:val="24"/>
                <w:lang w:eastAsia="sq-AL"/>
              </w:rPr>
              <w:t>soc.-</w:t>
            </w:r>
            <w:r w:rsidRPr="00791B97">
              <w:rPr>
                <w:rFonts w:ascii="Garamond" w:eastAsia="Times New Roman" w:hAnsi="Garamond" w:cs="Times New Roman"/>
                <w:b/>
                <w:bCs/>
                <w:sz w:val="12"/>
                <w:szCs w:val="24"/>
                <w:lang w:eastAsia="sq-AL"/>
              </w:rPr>
              <w:t>ek</w:t>
            </w:r>
            <w:r>
              <w:rPr>
                <w:rFonts w:ascii="Garamond" w:eastAsia="Times New Roman" w:hAnsi="Garamond" w:cs="Times New Roman"/>
                <w:b/>
                <w:bCs/>
                <w:sz w:val="12"/>
                <w:szCs w:val="24"/>
                <w:lang w:eastAsia="sq-AL"/>
              </w:rPr>
              <w:t>.</w:t>
            </w:r>
          </w:p>
        </w:tc>
        <w:tc>
          <w:tcPr>
            <w:tcW w:w="748" w:type="pct"/>
            <w:gridSpan w:val="4"/>
            <w:vMerge w:val="restart"/>
            <w:tcBorders>
              <w:top w:val="single" w:sz="4" w:space="0" w:color="auto"/>
              <w:left w:val="single" w:sz="4" w:space="0" w:color="auto"/>
              <w:bottom w:val="single" w:sz="4" w:space="0" w:color="auto"/>
              <w:right w:val="single" w:sz="4" w:space="0" w:color="auto"/>
            </w:tcBorders>
            <w:shd w:val="clear" w:color="000000" w:fill="AEAAAA"/>
            <w:noWrap/>
            <w:vAlign w:val="center"/>
            <w:hideMark/>
          </w:tcPr>
          <w:p w14:paraId="08D05CC6" w14:textId="541E57F0" w:rsidR="00791B97" w:rsidRPr="00791B97" w:rsidRDefault="00A914C1"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Objekt banimi</w:t>
            </w:r>
          </w:p>
        </w:tc>
        <w:tc>
          <w:tcPr>
            <w:tcW w:w="244" w:type="pct"/>
            <w:vMerge w:val="restart"/>
            <w:tcBorders>
              <w:top w:val="single" w:sz="4" w:space="0" w:color="auto"/>
              <w:left w:val="single" w:sz="4" w:space="0" w:color="auto"/>
              <w:bottom w:val="single" w:sz="4" w:space="0" w:color="auto"/>
              <w:right w:val="single" w:sz="4" w:space="0" w:color="auto"/>
            </w:tcBorders>
            <w:shd w:val="clear" w:color="000000" w:fill="AEAAAA"/>
            <w:vAlign w:val="center"/>
            <w:hideMark/>
          </w:tcPr>
          <w:p w14:paraId="3C83CA0F" w14:textId="08DC1849" w:rsidR="00791B97" w:rsidRPr="00791B97" w:rsidRDefault="00A914C1"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 xml:space="preserve">Vlera totale </w:t>
            </w:r>
            <w:r w:rsidR="00791B97" w:rsidRPr="00791B97">
              <w:rPr>
                <w:rFonts w:ascii="Garamond" w:eastAsia="Times New Roman" w:hAnsi="Garamond" w:cs="Times New Roman"/>
                <w:b/>
                <w:bCs/>
                <w:sz w:val="12"/>
                <w:szCs w:val="24"/>
                <w:lang w:eastAsia="sq-AL"/>
              </w:rPr>
              <w:t>(</w:t>
            </w:r>
            <w:r w:rsidRPr="00791B97">
              <w:rPr>
                <w:rFonts w:ascii="Garamond" w:eastAsia="Times New Roman" w:hAnsi="Garamond" w:cs="Times New Roman"/>
                <w:b/>
                <w:bCs/>
                <w:sz w:val="12"/>
                <w:szCs w:val="24"/>
                <w:lang w:eastAsia="sq-AL"/>
              </w:rPr>
              <w:t>lekë</w:t>
            </w:r>
            <w:r w:rsidR="00791B97" w:rsidRPr="00791B97">
              <w:rPr>
                <w:rFonts w:ascii="Garamond" w:eastAsia="Times New Roman" w:hAnsi="Garamond" w:cs="Times New Roman"/>
                <w:b/>
                <w:bCs/>
                <w:sz w:val="12"/>
                <w:szCs w:val="24"/>
                <w:lang w:eastAsia="sq-AL"/>
              </w:rPr>
              <w:t>)</w:t>
            </w:r>
          </w:p>
        </w:tc>
        <w:tc>
          <w:tcPr>
            <w:tcW w:w="244" w:type="pct"/>
            <w:vMerge w:val="restart"/>
            <w:tcBorders>
              <w:top w:val="single" w:sz="4" w:space="0" w:color="auto"/>
              <w:left w:val="single" w:sz="4" w:space="0" w:color="auto"/>
              <w:bottom w:val="single" w:sz="4" w:space="0" w:color="000000"/>
              <w:right w:val="single" w:sz="4" w:space="0" w:color="auto"/>
            </w:tcBorders>
            <w:shd w:val="clear" w:color="000000" w:fill="AEAAAA"/>
            <w:vAlign w:val="center"/>
            <w:hideMark/>
          </w:tcPr>
          <w:p w14:paraId="26EB68C8" w14:textId="485A48B9" w:rsidR="00791B97" w:rsidRPr="00791B97" w:rsidRDefault="00A914C1"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Shënime</w:t>
            </w:r>
          </w:p>
        </w:tc>
      </w:tr>
      <w:tr w:rsidR="00791B97" w:rsidRPr="00791B97" w14:paraId="79FA8CD2" w14:textId="77777777" w:rsidTr="00791B97">
        <w:trPr>
          <w:trHeight w:val="379"/>
          <w:jc w:val="center"/>
        </w:trPr>
        <w:tc>
          <w:tcPr>
            <w:tcW w:w="270" w:type="pct"/>
            <w:vMerge/>
            <w:tcBorders>
              <w:top w:val="single" w:sz="4" w:space="0" w:color="auto"/>
              <w:left w:val="single" w:sz="4" w:space="0" w:color="auto"/>
              <w:bottom w:val="single" w:sz="4" w:space="0" w:color="auto"/>
              <w:right w:val="single" w:sz="4" w:space="0" w:color="auto"/>
            </w:tcBorders>
            <w:vAlign w:val="center"/>
            <w:hideMark/>
          </w:tcPr>
          <w:p w14:paraId="4703D0FB" w14:textId="77777777" w:rsidR="00791B97" w:rsidRPr="00791B97" w:rsidRDefault="00791B97" w:rsidP="00791B97">
            <w:pPr>
              <w:spacing w:after="0" w:line="240" w:lineRule="auto"/>
              <w:rPr>
                <w:rFonts w:ascii="Garamond" w:eastAsia="Times New Roman" w:hAnsi="Garamond" w:cs="Times New Roman"/>
                <w:b/>
                <w:bCs/>
                <w:sz w:val="12"/>
                <w:szCs w:val="24"/>
                <w:lang w:eastAsia="sq-AL"/>
              </w:rPr>
            </w:pPr>
          </w:p>
        </w:tc>
        <w:tc>
          <w:tcPr>
            <w:tcW w:w="171" w:type="pct"/>
            <w:vMerge/>
            <w:tcBorders>
              <w:top w:val="single" w:sz="4" w:space="0" w:color="auto"/>
              <w:left w:val="single" w:sz="4" w:space="0" w:color="auto"/>
              <w:bottom w:val="single" w:sz="4" w:space="0" w:color="auto"/>
              <w:right w:val="single" w:sz="4" w:space="0" w:color="auto"/>
            </w:tcBorders>
            <w:vAlign w:val="center"/>
            <w:hideMark/>
          </w:tcPr>
          <w:p w14:paraId="787511F6" w14:textId="77777777" w:rsidR="00791B97" w:rsidRPr="00791B97" w:rsidRDefault="00791B97" w:rsidP="00791B97">
            <w:pPr>
              <w:spacing w:after="0" w:line="240" w:lineRule="auto"/>
              <w:rPr>
                <w:rFonts w:ascii="Garamond" w:eastAsia="Times New Roman" w:hAnsi="Garamond" w:cs="Times New Roman"/>
                <w:b/>
                <w:bCs/>
                <w:sz w:val="12"/>
                <w:szCs w:val="24"/>
                <w:lang w:eastAsia="sq-AL"/>
              </w:rPr>
            </w:pPr>
          </w:p>
        </w:tc>
        <w:tc>
          <w:tcPr>
            <w:tcW w:w="165" w:type="pct"/>
            <w:vMerge/>
            <w:tcBorders>
              <w:top w:val="single" w:sz="4" w:space="0" w:color="auto"/>
              <w:left w:val="single" w:sz="4" w:space="0" w:color="auto"/>
              <w:bottom w:val="single" w:sz="4" w:space="0" w:color="auto"/>
              <w:right w:val="single" w:sz="4" w:space="0" w:color="auto"/>
            </w:tcBorders>
            <w:vAlign w:val="center"/>
            <w:hideMark/>
          </w:tcPr>
          <w:p w14:paraId="3E3EEFF8" w14:textId="77777777" w:rsidR="00791B97" w:rsidRPr="00791B97" w:rsidRDefault="00791B97" w:rsidP="00791B97">
            <w:pPr>
              <w:spacing w:after="0" w:line="240" w:lineRule="auto"/>
              <w:rPr>
                <w:rFonts w:ascii="Garamond" w:eastAsia="Times New Roman" w:hAnsi="Garamond" w:cs="Times New Roman"/>
                <w:b/>
                <w:bCs/>
                <w:sz w:val="12"/>
                <w:szCs w:val="24"/>
                <w:lang w:eastAsia="sq-AL"/>
              </w:rPr>
            </w:pPr>
          </w:p>
        </w:tc>
        <w:tc>
          <w:tcPr>
            <w:tcW w:w="201" w:type="pct"/>
            <w:vMerge/>
            <w:tcBorders>
              <w:top w:val="single" w:sz="4" w:space="0" w:color="auto"/>
              <w:left w:val="single" w:sz="4" w:space="0" w:color="auto"/>
              <w:bottom w:val="single" w:sz="4" w:space="0" w:color="auto"/>
              <w:right w:val="single" w:sz="4" w:space="0" w:color="auto"/>
            </w:tcBorders>
            <w:vAlign w:val="center"/>
            <w:hideMark/>
          </w:tcPr>
          <w:p w14:paraId="0F88E2A0"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p>
        </w:tc>
        <w:tc>
          <w:tcPr>
            <w:tcW w:w="228" w:type="pct"/>
            <w:vMerge w:val="restart"/>
            <w:tcBorders>
              <w:top w:val="nil"/>
              <w:left w:val="single" w:sz="4" w:space="0" w:color="auto"/>
              <w:bottom w:val="single" w:sz="4" w:space="0" w:color="auto"/>
              <w:right w:val="single" w:sz="4" w:space="0" w:color="auto"/>
            </w:tcBorders>
            <w:shd w:val="clear" w:color="000000" w:fill="AEAAAA"/>
            <w:vAlign w:val="center"/>
            <w:hideMark/>
          </w:tcPr>
          <w:p w14:paraId="116ACC53" w14:textId="15143648"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 xml:space="preserve">Zona </w:t>
            </w:r>
            <w:r w:rsidR="00A914C1" w:rsidRPr="00791B97">
              <w:rPr>
                <w:rFonts w:ascii="Garamond" w:eastAsia="Times New Roman" w:hAnsi="Garamond" w:cs="Times New Roman"/>
                <w:b/>
                <w:bCs/>
                <w:sz w:val="12"/>
                <w:szCs w:val="24"/>
                <w:lang w:eastAsia="sq-AL"/>
              </w:rPr>
              <w:t>kadastrale</w:t>
            </w:r>
          </w:p>
        </w:tc>
        <w:tc>
          <w:tcPr>
            <w:tcW w:w="198" w:type="pct"/>
            <w:vMerge w:val="restart"/>
            <w:tcBorders>
              <w:top w:val="nil"/>
              <w:left w:val="single" w:sz="4" w:space="0" w:color="auto"/>
              <w:bottom w:val="single" w:sz="4" w:space="0" w:color="auto"/>
              <w:right w:val="single" w:sz="4" w:space="0" w:color="auto"/>
            </w:tcBorders>
            <w:shd w:val="clear" w:color="000000" w:fill="AEAAAA"/>
            <w:vAlign w:val="center"/>
            <w:hideMark/>
          </w:tcPr>
          <w:p w14:paraId="492D4878" w14:textId="0EF3B04A"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 xml:space="preserve">Numri </w:t>
            </w:r>
            <w:r w:rsidR="00A914C1">
              <w:rPr>
                <w:rFonts w:ascii="Garamond" w:eastAsia="Times New Roman" w:hAnsi="Garamond" w:cs="Times New Roman"/>
                <w:b/>
                <w:bCs/>
                <w:sz w:val="12"/>
                <w:szCs w:val="24"/>
                <w:lang w:eastAsia="sq-AL"/>
              </w:rPr>
              <w:t xml:space="preserve">i </w:t>
            </w:r>
            <w:r w:rsidR="00A914C1" w:rsidRPr="00791B97">
              <w:rPr>
                <w:rFonts w:ascii="Garamond" w:eastAsia="Times New Roman" w:hAnsi="Garamond" w:cs="Times New Roman"/>
                <w:b/>
                <w:bCs/>
                <w:sz w:val="12"/>
                <w:szCs w:val="24"/>
                <w:lang w:eastAsia="sq-AL"/>
              </w:rPr>
              <w:t>pasurisë</w:t>
            </w:r>
          </w:p>
        </w:tc>
        <w:tc>
          <w:tcPr>
            <w:tcW w:w="198" w:type="pct"/>
            <w:vMerge w:val="restart"/>
            <w:tcBorders>
              <w:top w:val="nil"/>
              <w:left w:val="single" w:sz="4" w:space="0" w:color="auto"/>
              <w:bottom w:val="single" w:sz="4" w:space="0" w:color="auto"/>
              <w:right w:val="single" w:sz="4" w:space="0" w:color="auto"/>
            </w:tcBorders>
            <w:shd w:val="clear" w:color="000000" w:fill="AEAAAA"/>
            <w:vAlign w:val="center"/>
            <w:hideMark/>
          </w:tcPr>
          <w:p w14:paraId="694205E6" w14:textId="1CE381C8"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 xml:space="preserve">Lloji </w:t>
            </w:r>
            <w:r w:rsidR="00A914C1">
              <w:rPr>
                <w:rFonts w:ascii="Garamond" w:eastAsia="Times New Roman" w:hAnsi="Garamond" w:cs="Times New Roman"/>
                <w:b/>
                <w:bCs/>
                <w:sz w:val="12"/>
                <w:szCs w:val="24"/>
                <w:lang w:eastAsia="sq-AL"/>
              </w:rPr>
              <w:t xml:space="preserve">i </w:t>
            </w:r>
            <w:r w:rsidR="00A914C1" w:rsidRPr="00791B97">
              <w:rPr>
                <w:rFonts w:ascii="Garamond" w:eastAsia="Times New Roman" w:hAnsi="Garamond" w:cs="Times New Roman"/>
                <w:b/>
                <w:bCs/>
                <w:sz w:val="12"/>
                <w:szCs w:val="24"/>
                <w:lang w:eastAsia="sq-AL"/>
              </w:rPr>
              <w:t>pasurisë</w:t>
            </w:r>
          </w:p>
        </w:tc>
        <w:tc>
          <w:tcPr>
            <w:tcW w:w="888" w:type="pct"/>
            <w:gridSpan w:val="4"/>
            <w:vMerge/>
            <w:tcBorders>
              <w:top w:val="nil"/>
              <w:left w:val="single" w:sz="4" w:space="0" w:color="auto"/>
              <w:bottom w:val="single" w:sz="4" w:space="0" w:color="auto"/>
              <w:right w:val="single" w:sz="4" w:space="0" w:color="auto"/>
            </w:tcBorders>
            <w:vAlign w:val="center"/>
            <w:hideMark/>
          </w:tcPr>
          <w:p w14:paraId="24E92E62"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p>
        </w:tc>
        <w:tc>
          <w:tcPr>
            <w:tcW w:w="795" w:type="pct"/>
            <w:gridSpan w:val="4"/>
            <w:vMerge/>
            <w:tcBorders>
              <w:top w:val="nil"/>
              <w:left w:val="single" w:sz="4" w:space="0" w:color="auto"/>
              <w:bottom w:val="single" w:sz="4" w:space="0" w:color="auto"/>
              <w:right w:val="single" w:sz="4" w:space="0" w:color="auto"/>
            </w:tcBorders>
            <w:vAlign w:val="center"/>
            <w:hideMark/>
          </w:tcPr>
          <w:p w14:paraId="20A539AC"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p>
        </w:tc>
        <w:tc>
          <w:tcPr>
            <w:tcW w:w="650" w:type="pct"/>
            <w:gridSpan w:val="3"/>
            <w:vMerge/>
            <w:tcBorders>
              <w:top w:val="nil"/>
              <w:left w:val="single" w:sz="4" w:space="0" w:color="auto"/>
              <w:bottom w:val="single" w:sz="4" w:space="0" w:color="auto"/>
              <w:right w:val="single" w:sz="4" w:space="0" w:color="auto"/>
            </w:tcBorders>
            <w:vAlign w:val="center"/>
            <w:hideMark/>
          </w:tcPr>
          <w:p w14:paraId="7DA24DAD"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p>
        </w:tc>
        <w:tc>
          <w:tcPr>
            <w:tcW w:w="748" w:type="pct"/>
            <w:gridSpan w:val="4"/>
            <w:vMerge/>
            <w:tcBorders>
              <w:top w:val="nil"/>
              <w:left w:val="single" w:sz="4" w:space="0" w:color="auto"/>
              <w:bottom w:val="single" w:sz="4" w:space="0" w:color="auto"/>
              <w:right w:val="single" w:sz="4" w:space="0" w:color="auto"/>
            </w:tcBorders>
            <w:vAlign w:val="center"/>
            <w:hideMark/>
          </w:tcPr>
          <w:p w14:paraId="568AF004"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2B26A132"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p>
        </w:tc>
        <w:tc>
          <w:tcPr>
            <w:tcW w:w="244" w:type="pct"/>
            <w:vMerge/>
            <w:tcBorders>
              <w:top w:val="single" w:sz="4" w:space="0" w:color="auto"/>
              <w:left w:val="single" w:sz="4" w:space="0" w:color="auto"/>
              <w:bottom w:val="single" w:sz="4" w:space="0" w:color="000000"/>
              <w:right w:val="single" w:sz="4" w:space="0" w:color="auto"/>
            </w:tcBorders>
            <w:vAlign w:val="center"/>
            <w:hideMark/>
          </w:tcPr>
          <w:p w14:paraId="0402C98B"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p>
        </w:tc>
      </w:tr>
      <w:tr w:rsidR="00791B97" w:rsidRPr="00791B97" w14:paraId="4F5A46F6" w14:textId="77777777" w:rsidTr="00791B97">
        <w:trPr>
          <w:trHeight w:val="20"/>
          <w:jc w:val="center"/>
        </w:trPr>
        <w:tc>
          <w:tcPr>
            <w:tcW w:w="270" w:type="pct"/>
            <w:vMerge/>
            <w:tcBorders>
              <w:top w:val="single" w:sz="4" w:space="0" w:color="auto"/>
              <w:left w:val="single" w:sz="4" w:space="0" w:color="auto"/>
              <w:bottom w:val="single" w:sz="4" w:space="0" w:color="auto"/>
              <w:right w:val="single" w:sz="4" w:space="0" w:color="auto"/>
            </w:tcBorders>
            <w:vAlign w:val="center"/>
            <w:hideMark/>
          </w:tcPr>
          <w:p w14:paraId="1BF93E64" w14:textId="77777777" w:rsidR="00791B97" w:rsidRPr="00791B97" w:rsidRDefault="00791B97" w:rsidP="00791B97">
            <w:pPr>
              <w:spacing w:after="0" w:line="240" w:lineRule="auto"/>
              <w:rPr>
                <w:rFonts w:ascii="Garamond" w:eastAsia="Times New Roman" w:hAnsi="Garamond" w:cs="Times New Roman"/>
                <w:b/>
                <w:bCs/>
                <w:sz w:val="12"/>
                <w:szCs w:val="24"/>
                <w:lang w:eastAsia="sq-AL"/>
              </w:rPr>
            </w:pPr>
          </w:p>
        </w:tc>
        <w:tc>
          <w:tcPr>
            <w:tcW w:w="171" w:type="pct"/>
            <w:vMerge/>
            <w:tcBorders>
              <w:top w:val="single" w:sz="4" w:space="0" w:color="auto"/>
              <w:left w:val="single" w:sz="4" w:space="0" w:color="auto"/>
              <w:bottom w:val="single" w:sz="4" w:space="0" w:color="auto"/>
              <w:right w:val="single" w:sz="4" w:space="0" w:color="auto"/>
            </w:tcBorders>
            <w:vAlign w:val="center"/>
            <w:hideMark/>
          </w:tcPr>
          <w:p w14:paraId="43DB3D99" w14:textId="77777777" w:rsidR="00791B97" w:rsidRPr="00791B97" w:rsidRDefault="00791B97" w:rsidP="00791B97">
            <w:pPr>
              <w:spacing w:after="0" w:line="240" w:lineRule="auto"/>
              <w:rPr>
                <w:rFonts w:ascii="Garamond" w:eastAsia="Times New Roman" w:hAnsi="Garamond" w:cs="Times New Roman"/>
                <w:b/>
                <w:bCs/>
                <w:sz w:val="12"/>
                <w:szCs w:val="24"/>
                <w:lang w:eastAsia="sq-AL"/>
              </w:rPr>
            </w:pPr>
          </w:p>
        </w:tc>
        <w:tc>
          <w:tcPr>
            <w:tcW w:w="165" w:type="pct"/>
            <w:vMerge/>
            <w:tcBorders>
              <w:top w:val="single" w:sz="4" w:space="0" w:color="auto"/>
              <w:left w:val="single" w:sz="4" w:space="0" w:color="auto"/>
              <w:bottom w:val="single" w:sz="4" w:space="0" w:color="auto"/>
              <w:right w:val="single" w:sz="4" w:space="0" w:color="auto"/>
            </w:tcBorders>
            <w:vAlign w:val="center"/>
            <w:hideMark/>
          </w:tcPr>
          <w:p w14:paraId="4CD6E40F" w14:textId="77777777" w:rsidR="00791B97" w:rsidRPr="00791B97" w:rsidRDefault="00791B97" w:rsidP="00791B97">
            <w:pPr>
              <w:spacing w:after="0" w:line="240" w:lineRule="auto"/>
              <w:rPr>
                <w:rFonts w:ascii="Garamond" w:eastAsia="Times New Roman" w:hAnsi="Garamond" w:cs="Times New Roman"/>
                <w:b/>
                <w:bCs/>
                <w:sz w:val="12"/>
                <w:szCs w:val="24"/>
                <w:lang w:eastAsia="sq-AL"/>
              </w:rPr>
            </w:pPr>
          </w:p>
        </w:tc>
        <w:tc>
          <w:tcPr>
            <w:tcW w:w="201" w:type="pct"/>
            <w:vMerge/>
            <w:tcBorders>
              <w:top w:val="single" w:sz="4" w:space="0" w:color="auto"/>
              <w:left w:val="single" w:sz="4" w:space="0" w:color="auto"/>
              <w:bottom w:val="single" w:sz="4" w:space="0" w:color="auto"/>
              <w:right w:val="single" w:sz="4" w:space="0" w:color="auto"/>
            </w:tcBorders>
            <w:vAlign w:val="center"/>
            <w:hideMark/>
          </w:tcPr>
          <w:p w14:paraId="6AF7E63E"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p>
        </w:tc>
        <w:tc>
          <w:tcPr>
            <w:tcW w:w="228" w:type="pct"/>
            <w:vMerge/>
            <w:tcBorders>
              <w:top w:val="nil"/>
              <w:left w:val="single" w:sz="4" w:space="0" w:color="auto"/>
              <w:bottom w:val="single" w:sz="4" w:space="0" w:color="auto"/>
              <w:right w:val="single" w:sz="4" w:space="0" w:color="auto"/>
            </w:tcBorders>
            <w:vAlign w:val="center"/>
            <w:hideMark/>
          </w:tcPr>
          <w:p w14:paraId="4348CDB6"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p>
        </w:tc>
        <w:tc>
          <w:tcPr>
            <w:tcW w:w="198" w:type="pct"/>
            <w:vMerge/>
            <w:tcBorders>
              <w:top w:val="nil"/>
              <w:left w:val="single" w:sz="4" w:space="0" w:color="auto"/>
              <w:bottom w:val="single" w:sz="4" w:space="0" w:color="auto"/>
              <w:right w:val="single" w:sz="4" w:space="0" w:color="auto"/>
            </w:tcBorders>
            <w:vAlign w:val="center"/>
            <w:hideMark/>
          </w:tcPr>
          <w:p w14:paraId="5B089C40"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p>
        </w:tc>
        <w:tc>
          <w:tcPr>
            <w:tcW w:w="198" w:type="pct"/>
            <w:vMerge/>
            <w:tcBorders>
              <w:top w:val="nil"/>
              <w:left w:val="single" w:sz="4" w:space="0" w:color="auto"/>
              <w:bottom w:val="single" w:sz="4" w:space="0" w:color="auto"/>
              <w:right w:val="single" w:sz="4" w:space="0" w:color="auto"/>
            </w:tcBorders>
            <w:vAlign w:val="center"/>
            <w:hideMark/>
          </w:tcPr>
          <w:p w14:paraId="745F3AFC"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p>
        </w:tc>
        <w:tc>
          <w:tcPr>
            <w:tcW w:w="168" w:type="pct"/>
            <w:vMerge w:val="restart"/>
            <w:tcBorders>
              <w:top w:val="nil"/>
              <w:left w:val="single" w:sz="4" w:space="0" w:color="auto"/>
              <w:bottom w:val="single" w:sz="4" w:space="0" w:color="auto"/>
              <w:right w:val="single" w:sz="4" w:space="0" w:color="auto"/>
            </w:tcBorders>
            <w:shd w:val="clear" w:color="000000" w:fill="AEAAAA"/>
            <w:vAlign w:val="center"/>
            <w:hideMark/>
          </w:tcPr>
          <w:p w14:paraId="0466B96E" w14:textId="44F876FB"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 xml:space="preserve">Sip. </w:t>
            </w:r>
            <w:r w:rsidR="00A914C1" w:rsidRPr="00791B97">
              <w:rPr>
                <w:rFonts w:ascii="Garamond" w:eastAsia="Times New Roman" w:hAnsi="Garamond" w:cs="Times New Roman"/>
                <w:b/>
                <w:bCs/>
                <w:sz w:val="12"/>
                <w:szCs w:val="24"/>
                <w:lang w:eastAsia="sq-AL"/>
              </w:rPr>
              <w:t xml:space="preserve">totale </w:t>
            </w:r>
            <w:r w:rsidRPr="00791B97">
              <w:rPr>
                <w:rFonts w:ascii="Garamond" w:eastAsia="Times New Roman" w:hAnsi="Garamond" w:cs="Times New Roman"/>
                <w:b/>
                <w:bCs/>
                <w:sz w:val="12"/>
                <w:szCs w:val="24"/>
                <w:lang w:eastAsia="sq-AL"/>
              </w:rPr>
              <w:t>m</w:t>
            </w:r>
            <w:r w:rsidRPr="00A914C1">
              <w:rPr>
                <w:rFonts w:ascii="Garamond" w:eastAsia="Times New Roman" w:hAnsi="Garamond" w:cs="Times New Roman"/>
                <w:b/>
                <w:bCs/>
                <w:sz w:val="12"/>
                <w:szCs w:val="24"/>
                <w:vertAlign w:val="superscript"/>
                <w:lang w:eastAsia="sq-AL"/>
              </w:rPr>
              <w:t>2</w:t>
            </w:r>
          </w:p>
        </w:tc>
        <w:tc>
          <w:tcPr>
            <w:tcW w:w="253" w:type="pct"/>
            <w:tcBorders>
              <w:top w:val="nil"/>
              <w:left w:val="nil"/>
              <w:bottom w:val="single" w:sz="4" w:space="0" w:color="auto"/>
              <w:right w:val="single" w:sz="4" w:space="0" w:color="auto"/>
            </w:tcBorders>
            <w:shd w:val="clear" w:color="000000" w:fill="AEAAAA"/>
            <w:vAlign w:val="center"/>
            <w:hideMark/>
          </w:tcPr>
          <w:p w14:paraId="73E46961"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Sipërfaqja e shpronësuar</w:t>
            </w:r>
          </w:p>
        </w:tc>
        <w:tc>
          <w:tcPr>
            <w:tcW w:w="223" w:type="pct"/>
            <w:tcBorders>
              <w:top w:val="nil"/>
              <w:left w:val="nil"/>
              <w:bottom w:val="single" w:sz="4" w:space="0" w:color="auto"/>
              <w:right w:val="single" w:sz="4" w:space="0" w:color="auto"/>
            </w:tcBorders>
            <w:shd w:val="clear" w:color="000000" w:fill="AEAAAA"/>
            <w:noWrap/>
            <w:vAlign w:val="center"/>
            <w:hideMark/>
          </w:tcPr>
          <w:p w14:paraId="1CABA5D4"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Çmimi</w:t>
            </w:r>
          </w:p>
        </w:tc>
        <w:tc>
          <w:tcPr>
            <w:tcW w:w="244" w:type="pct"/>
            <w:tcBorders>
              <w:top w:val="nil"/>
              <w:left w:val="nil"/>
              <w:bottom w:val="single" w:sz="4" w:space="0" w:color="auto"/>
              <w:right w:val="single" w:sz="4" w:space="0" w:color="auto"/>
            </w:tcBorders>
            <w:shd w:val="clear" w:color="000000" w:fill="AEAAAA"/>
            <w:noWrap/>
            <w:vAlign w:val="center"/>
            <w:hideMark/>
          </w:tcPr>
          <w:p w14:paraId="00056599"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Vlera</w:t>
            </w:r>
          </w:p>
        </w:tc>
        <w:tc>
          <w:tcPr>
            <w:tcW w:w="168" w:type="pct"/>
            <w:vMerge w:val="restart"/>
            <w:tcBorders>
              <w:top w:val="nil"/>
              <w:left w:val="single" w:sz="4" w:space="0" w:color="auto"/>
              <w:bottom w:val="single" w:sz="4" w:space="0" w:color="auto"/>
              <w:right w:val="single" w:sz="4" w:space="0" w:color="auto"/>
            </w:tcBorders>
            <w:shd w:val="clear" w:color="000000" w:fill="AEAAAA"/>
            <w:vAlign w:val="center"/>
            <w:hideMark/>
          </w:tcPr>
          <w:p w14:paraId="6A175F2B" w14:textId="3789E49A"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 xml:space="preserve">Sip. </w:t>
            </w:r>
            <w:r w:rsidR="00A914C1" w:rsidRPr="00791B97">
              <w:rPr>
                <w:rFonts w:ascii="Garamond" w:eastAsia="Times New Roman" w:hAnsi="Garamond" w:cs="Times New Roman"/>
                <w:b/>
                <w:bCs/>
                <w:sz w:val="12"/>
                <w:szCs w:val="24"/>
                <w:lang w:eastAsia="sq-AL"/>
              </w:rPr>
              <w:t xml:space="preserve">totale </w:t>
            </w:r>
            <w:r w:rsidRPr="00791B97">
              <w:rPr>
                <w:rFonts w:ascii="Garamond" w:eastAsia="Times New Roman" w:hAnsi="Garamond" w:cs="Times New Roman"/>
                <w:b/>
                <w:bCs/>
                <w:sz w:val="12"/>
                <w:szCs w:val="24"/>
                <w:lang w:eastAsia="sq-AL"/>
              </w:rPr>
              <w:t>m</w:t>
            </w:r>
            <w:r w:rsidRPr="00A914C1">
              <w:rPr>
                <w:rFonts w:ascii="Garamond" w:eastAsia="Times New Roman" w:hAnsi="Garamond" w:cs="Times New Roman"/>
                <w:b/>
                <w:bCs/>
                <w:sz w:val="12"/>
                <w:szCs w:val="24"/>
                <w:vertAlign w:val="superscript"/>
                <w:lang w:eastAsia="sq-AL"/>
              </w:rPr>
              <w:t>2</w:t>
            </w:r>
          </w:p>
        </w:tc>
        <w:tc>
          <w:tcPr>
            <w:tcW w:w="253" w:type="pct"/>
            <w:tcBorders>
              <w:top w:val="nil"/>
              <w:left w:val="nil"/>
              <w:bottom w:val="single" w:sz="4" w:space="0" w:color="auto"/>
              <w:right w:val="single" w:sz="4" w:space="0" w:color="auto"/>
            </w:tcBorders>
            <w:shd w:val="clear" w:color="000000" w:fill="AEAAAA"/>
            <w:vAlign w:val="center"/>
            <w:hideMark/>
          </w:tcPr>
          <w:p w14:paraId="1DAAE47E"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Sipërfaqja e shpronësuar</w:t>
            </w:r>
          </w:p>
        </w:tc>
        <w:tc>
          <w:tcPr>
            <w:tcW w:w="223" w:type="pct"/>
            <w:tcBorders>
              <w:top w:val="nil"/>
              <w:left w:val="nil"/>
              <w:bottom w:val="single" w:sz="4" w:space="0" w:color="auto"/>
              <w:right w:val="single" w:sz="4" w:space="0" w:color="auto"/>
            </w:tcBorders>
            <w:shd w:val="clear" w:color="000000" w:fill="AEAAAA"/>
            <w:noWrap/>
            <w:vAlign w:val="center"/>
            <w:hideMark/>
          </w:tcPr>
          <w:p w14:paraId="400C7E61"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Çmimi</w:t>
            </w:r>
          </w:p>
        </w:tc>
        <w:tc>
          <w:tcPr>
            <w:tcW w:w="151" w:type="pct"/>
            <w:tcBorders>
              <w:top w:val="nil"/>
              <w:left w:val="nil"/>
              <w:bottom w:val="single" w:sz="4" w:space="0" w:color="auto"/>
              <w:right w:val="single" w:sz="4" w:space="0" w:color="auto"/>
            </w:tcBorders>
            <w:shd w:val="clear" w:color="000000" w:fill="AEAAAA"/>
            <w:noWrap/>
            <w:vAlign w:val="center"/>
            <w:hideMark/>
          </w:tcPr>
          <w:p w14:paraId="3A592974"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Vlera</w:t>
            </w:r>
          </w:p>
        </w:tc>
        <w:tc>
          <w:tcPr>
            <w:tcW w:w="168" w:type="pct"/>
            <w:vMerge w:val="restart"/>
            <w:tcBorders>
              <w:top w:val="nil"/>
              <w:left w:val="single" w:sz="4" w:space="0" w:color="auto"/>
              <w:bottom w:val="single" w:sz="4" w:space="0" w:color="auto"/>
              <w:right w:val="single" w:sz="4" w:space="0" w:color="auto"/>
            </w:tcBorders>
            <w:shd w:val="clear" w:color="000000" w:fill="AEAAAA"/>
            <w:vAlign w:val="center"/>
            <w:hideMark/>
          </w:tcPr>
          <w:p w14:paraId="0998154B" w14:textId="7E8C3C09"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 xml:space="preserve">Sip. </w:t>
            </w:r>
            <w:r w:rsidR="00A914C1" w:rsidRPr="00791B97">
              <w:rPr>
                <w:rFonts w:ascii="Garamond" w:eastAsia="Times New Roman" w:hAnsi="Garamond" w:cs="Times New Roman"/>
                <w:b/>
                <w:bCs/>
                <w:sz w:val="12"/>
                <w:szCs w:val="24"/>
                <w:lang w:eastAsia="sq-AL"/>
              </w:rPr>
              <w:t xml:space="preserve">totale </w:t>
            </w:r>
            <w:r w:rsidRPr="00791B97">
              <w:rPr>
                <w:rFonts w:ascii="Garamond" w:eastAsia="Times New Roman" w:hAnsi="Garamond" w:cs="Times New Roman"/>
                <w:b/>
                <w:bCs/>
                <w:sz w:val="12"/>
                <w:szCs w:val="24"/>
                <w:lang w:eastAsia="sq-AL"/>
              </w:rPr>
              <w:t>m</w:t>
            </w:r>
            <w:r w:rsidRPr="00A914C1">
              <w:rPr>
                <w:rFonts w:ascii="Garamond" w:eastAsia="Times New Roman" w:hAnsi="Garamond" w:cs="Times New Roman"/>
                <w:b/>
                <w:bCs/>
                <w:sz w:val="12"/>
                <w:szCs w:val="24"/>
                <w:vertAlign w:val="superscript"/>
                <w:lang w:eastAsia="sq-AL"/>
              </w:rPr>
              <w:t>2</w:t>
            </w:r>
          </w:p>
        </w:tc>
        <w:tc>
          <w:tcPr>
            <w:tcW w:w="253" w:type="pct"/>
            <w:tcBorders>
              <w:top w:val="nil"/>
              <w:left w:val="nil"/>
              <w:bottom w:val="single" w:sz="4" w:space="0" w:color="auto"/>
              <w:right w:val="single" w:sz="4" w:space="0" w:color="auto"/>
            </w:tcBorders>
            <w:shd w:val="clear" w:color="000000" w:fill="AEAAAA"/>
            <w:vAlign w:val="center"/>
            <w:hideMark/>
          </w:tcPr>
          <w:p w14:paraId="2A75A308"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Sipërfaqja e shpronësuar</w:t>
            </w:r>
          </w:p>
        </w:tc>
        <w:tc>
          <w:tcPr>
            <w:tcW w:w="229" w:type="pct"/>
            <w:tcBorders>
              <w:top w:val="nil"/>
              <w:left w:val="nil"/>
              <w:bottom w:val="single" w:sz="4" w:space="0" w:color="auto"/>
              <w:right w:val="single" w:sz="4" w:space="0" w:color="auto"/>
            </w:tcBorders>
            <w:shd w:val="clear" w:color="000000" w:fill="AEAAAA"/>
            <w:vAlign w:val="center"/>
            <w:hideMark/>
          </w:tcPr>
          <w:p w14:paraId="7DFC3A00" w14:textId="161F056C"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Vlera sipas preventivit</w:t>
            </w:r>
          </w:p>
        </w:tc>
        <w:tc>
          <w:tcPr>
            <w:tcW w:w="168" w:type="pct"/>
            <w:vMerge w:val="restart"/>
            <w:tcBorders>
              <w:top w:val="nil"/>
              <w:left w:val="single" w:sz="4" w:space="0" w:color="auto"/>
              <w:bottom w:val="single" w:sz="4" w:space="0" w:color="auto"/>
              <w:right w:val="single" w:sz="4" w:space="0" w:color="auto"/>
            </w:tcBorders>
            <w:shd w:val="clear" w:color="000000" w:fill="AEAAAA"/>
            <w:vAlign w:val="center"/>
            <w:hideMark/>
          </w:tcPr>
          <w:p w14:paraId="504A18DF" w14:textId="0AAEDF20"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 xml:space="preserve">Sip. </w:t>
            </w:r>
            <w:r w:rsidR="00A914C1" w:rsidRPr="00791B97">
              <w:rPr>
                <w:rFonts w:ascii="Garamond" w:eastAsia="Times New Roman" w:hAnsi="Garamond" w:cs="Times New Roman"/>
                <w:b/>
                <w:bCs/>
                <w:sz w:val="12"/>
                <w:szCs w:val="24"/>
                <w:lang w:eastAsia="sq-AL"/>
              </w:rPr>
              <w:t xml:space="preserve">totale </w:t>
            </w:r>
            <w:r w:rsidRPr="00791B97">
              <w:rPr>
                <w:rFonts w:ascii="Garamond" w:eastAsia="Times New Roman" w:hAnsi="Garamond" w:cs="Times New Roman"/>
                <w:b/>
                <w:bCs/>
                <w:sz w:val="12"/>
                <w:szCs w:val="24"/>
                <w:lang w:eastAsia="sq-AL"/>
              </w:rPr>
              <w:t>m</w:t>
            </w:r>
            <w:r w:rsidRPr="00A914C1">
              <w:rPr>
                <w:rFonts w:ascii="Garamond" w:eastAsia="Times New Roman" w:hAnsi="Garamond" w:cs="Times New Roman"/>
                <w:b/>
                <w:bCs/>
                <w:sz w:val="12"/>
                <w:szCs w:val="24"/>
                <w:vertAlign w:val="superscript"/>
                <w:lang w:eastAsia="sq-AL"/>
              </w:rPr>
              <w:t>2</w:t>
            </w:r>
          </w:p>
        </w:tc>
        <w:tc>
          <w:tcPr>
            <w:tcW w:w="253" w:type="pct"/>
            <w:tcBorders>
              <w:top w:val="nil"/>
              <w:left w:val="nil"/>
              <w:bottom w:val="single" w:sz="4" w:space="0" w:color="auto"/>
              <w:right w:val="single" w:sz="4" w:space="0" w:color="auto"/>
            </w:tcBorders>
            <w:shd w:val="clear" w:color="000000" w:fill="AEAAAA"/>
            <w:vAlign w:val="center"/>
            <w:hideMark/>
          </w:tcPr>
          <w:p w14:paraId="45A8FB0D" w14:textId="17A9058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 xml:space="preserve">Sipërfaqja e </w:t>
            </w:r>
            <w:r w:rsidR="00A914C1" w:rsidRPr="00791B97">
              <w:rPr>
                <w:rFonts w:ascii="Garamond" w:eastAsia="Times New Roman" w:hAnsi="Garamond" w:cs="Times New Roman"/>
                <w:b/>
                <w:bCs/>
                <w:sz w:val="12"/>
                <w:szCs w:val="24"/>
                <w:lang w:eastAsia="sq-AL"/>
              </w:rPr>
              <w:t>shpronësuar</w:t>
            </w:r>
          </w:p>
        </w:tc>
        <w:tc>
          <w:tcPr>
            <w:tcW w:w="175" w:type="pct"/>
            <w:tcBorders>
              <w:top w:val="nil"/>
              <w:left w:val="nil"/>
              <w:bottom w:val="single" w:sz="4" w:space="0" w:color="auto"/>
              <w:right w:val="single" w:sz="4" w:space="0" w:color="auto"/>
            </w:tcBorders>
            <w:shd w:val="clear" w:color="000000" w:fill="AEAAAA"/>
            <w:noWrap/>
            <w:vAlign w:val="center"/>
            <w:hideMark/>
          </w:tcPr>
          <w:p w14:paraId="7EB40BF8"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Çmimi</w:t>
            </w:r>
          </w:p>
        </w:tc>
        <w:tc>
          <w:tcPr>
            <w:tcW w:w="151" w:type="pct"/>
            <w:tcBorders>
              <w:top w:val="nil"/>
              <w:left w:val="nil"/>
              <w:bottom w:val="single" w:sz="4" w:space="0" w:color="auto"/>
              <w:right w:val="single" w:sz="4" w:space="0" w:color="auto"/>
            </w:tcBorders>
            <w:shd w:val="clear" w:color="000000" w:fill="AEAAAA"/>
            <w:noWrap/>
            <w:vAlign w:val="center"/>
            <w:hideMark/>
          </w:tcPr>
          <w:p w14:paraId="5C3C18A9"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Vlera</w:t>
            </w: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088AF712"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p>
        </w:tc>
        <w:tc>
          <w:tcPr>
            <w:tcW w:w="244" w:type="pct"/>
            <w:vMerge/>
            <w:tcBorders>
              <w:top w:val="single" w:sz="4" w:space="0" w:color="auto"/>
              <w:left w:val="single" w:sz="4" w:space="0" w:color="auto"/>
              <w:bottom w:val="single" w:sz="4" w:space="0" w:color="000000"/>
              <w:right w:val="single" w:sz="4" w:space="0" w:color="auto"/>
            </w:tcBorders>
            <w:vAlign w:val="center"/>
            <w:hideMark/>
          </w:tcPr>
          <w:p w14:paraId="563521B0"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p>
        </w:tc>
      </w:tr>
      <w:tr w:rsidR="00791B97" w:rsidRPr="00791B97" w14:paraId="631546BE" w14:textId="77777777" w:rsidTr="00791B97">
        <w:trPr>
          <w:trHeight w:val="20"/>
          <w:jc w:val="center"/>
        </w:trPr>
        <w:tc>
          <w:tcPr>
            <w:tcW w:w="270" w:type="pct"/>
            <w:vMerge/>
            <w:tcBorders>
              <w:top w:val="single" w:sz="4" w:space="0" w:color="auto"/>
              <w:left w:val="single" w:sz="4" w:space="0" w:color="auto"/>
              <w:bottom w:val="single" w:sz="4" w:space="0" w:color="auto"/>
              <w:right w:val="single" w:sz="4" w:space="0" w:color="auto"/>
            </w:tcBorders>
            <w:vAlign w:val="center"/>
            <w:hideMark/>
          </w:tcPr>
          <w:p w14:paraId="55612608" w14:textId="77777777" w:rsidR="00791B97" w:rsidRPr="00791B97" w:rsidRDefault="00791B97" w:rsidP="00791B97">
            <w:pPr>
              <w:spacing w:after="0" w:line="240" w:lineRule="auto"/>
              <w:rPr>
                <w:rFonts w:ascii="Garamond" w:eastAsia="Times New Roman" w:hAnsi="Garamond" w:cs="Times New Roman"/>
                <w:b/>
                <w:bCs/>
                <w:sz w:val="12"/>
                <w:szCs w:val="24"/>
                <w:lang w:eastAsia="sq-AL"/>
              </w:rPr>
            </w:pPr>
          </w:p>
        </w:tc>
        <w:tc>
          <w:tcPr>
            <w:tcW w:w="171" w:type="pct"/>
            <w:vMerge/>
            <w:tcBorders>
              <w:top w:val="single" w:sz="4" w:space="0" w:color="auto"/>
              <w:left w:val="single" w:sz="4" w:space="0" w:color="auto"/>
              <w:bottom w:val="single" w:sz="4" w:space="0" w:color="auto"/>
              <w:right w:val="single" w:sz="4" w:space="0" w:color="auto"/>
            </w:tcBorders>
            <w:vAlign w:val="center"/>
            <w:hideMark/>
          </w:tcPr>
          <w:p w14:paraId="0AFCD282" w14:textId="77777777" w:rsidR="00791B97" w:rsidRPr="00791B97" w:rsidRDefault="00791B97" w:rsidP="00791B97">
            <w:pPr>
              <w:spacing w:after="0" w:line="240" w:lineRule="auto"/>
              <w:rPr>
                <w:rFonts w:ascii="Garamond" w:eastAsia="Times New Roman" w:hAnsi="Garamond" w:cs="Times New Roman"/>
                <w:b/>
                <w:bCs/>
                <w:sz w:val="12"/>
                <w:szCs w:val="24"/>
                <w:lang w:eastAsia="sq-AL"/>
              </w:rPr>
            </w:pPr>
          </w:p>
        </w:tc>
        <w:tc>
          <w:tcPr>
            <w:tcW w:w="165" w:type="pct"/>
            <w:vMerge/>
            <w:tcBorders>
              <w:top w:val="single" w:sz="4" w:space="0" w:color="auto"/>
              <w:left w:val="single" w:sz="4" w:space="0" w:color="auto"/>
              <w:bottom w:val="single" w:sz="4" w:space="0" w:color="auto"/>
              <w:right w:val="single" w:sz="4" w:space="0" w:color="auto"/>
            </w:tcBorders>
            <w:vAlign w:val="center"/>
            <w:hideMark/>
          </w:tcPr>
          <w:p w14:paraId="20247149" w14:textId="77777777" w:rsidR="00791B97" w:rsidRPr="00791B97" w:rsidRDefault="00791B97" w:rsidP="00791B97">
            <w:pPr>
              <w:spacing w:after="0" w:line="240" w:lineRule="auto"/>
              <w:rPr>
                <w:rFonts w:ascii="Garamond" w:eastAsia="Times New Roman" w:hAnsi="Garamond" w:cs="Times New Roman"/>
                <w:b/>
                <w:bCs/>
                <w:sz w:val="12"/>
                <w:szCs w:val="24"/>
                <w:lang w:eastAsia="sq-AL"/>
              </w:rPr>
            </w:pPr>
          </w:p>
        </w:tc>
        <w:tc>
          <w:tcPr>
            <w:tcW w:w="201" w:type="pct"/>
            <w:vMerge/>
            <w:tcBorders>
              <w:top w:val="single" w:sz="4" w:space="0" w:color="auto"/>
              <w:left w:val="single" w:sz="4" w:space="0" w:color="auto"/>
              <w:bottom w:val="single" w:sz="4" w:space="0" w:color="auto"/>
              <w:right w:val="single" w:sz="4" w:space="0" w:color="auto"/>
            </w:tcBorders>
            <w:vAlign w:val="center"/>
            <w:hideMark/>
          </w:tcPr>
          <w:p w14:paraId="311ACFDE"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p>
        </w:tc>
        <w:tc>
          <w:tcPr>
            <w:tcW w:w="228" w:type="pct"/>
            <w:vMerge/>
            <w:tcBorders>
              <w:top w:val="nil"/>
              <w:left w:val="single" w:sz="4" w:space="0" w:color="auto"/>
              <w:bottom w:val="single" w:sz="4" w:space="0" w:color="auto"/>
              <w:right w:val="single" w:sz="4" w:space="0" w:color="auto"/>
            </w:tcBorders>
            <w:vAlign w:val="center"/>
            <w:hideMark/>
          </w:tcPr>
          <w:p w14:paraId="6CA54306"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p>
        </w:tc>
        <w:tc>
          <w:tcPr>
            <w:tcW w:w="198" w:type="pct"/>
            <w:vMerge/>
            <w:tcBorders>
              <w:top w:val="nil"/>
              <w:left w:val="single" w:sz="4" w:space="0" w:color="auto"/>
              <w:bottom w:val="single" w:sz="4" w:space="0" w:color="auto"/>
              <w:right w:val="single" w:sz="4" w:space="0" w:color="auto"/>
            </w:tcBorders>
            <w:vAlign w:val="center"/>
            <w:hideMark/>
          </w:tcPr>
          <w:p w14:paraId="1B09330B"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p>
        </w:tc>
        <w:tc>
          <w:tcPr>
            <w:tcW w:w="198" w:type="pct"/>
            <w:vMerge/>
            <w:tcBorders>
              <w:top w:val="nil"/>
              <w:left w:val="single" w:sz="4" w:space="0" w:color="auto"/>
              <w:bottom w:val="single" w:sz="4" w:space="0" w:color="auto"/>
              <w:right w:val="single" w:sz="4" w:space="0" w:color="auto"/>
            </w:tcBorders>
            <w:vAlign w:val="center"/>
            <w:hideMark/>
          </w:tcPr>
          <w:p w14:paraId="4AF7FC32"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p>
        </w:tc>
        <w:tc>
          <w:tcPr>
            <w:tcW w:w="168" w:type="pct"/>
            <w:vMerge/>
            <w:tcBorders>
              <w:top w:val="nil"/>
              <w:left w:val="single" w:sz="4" w:space="0" w:color="auto"/>
              <w:bottom w:val="single" w:sz="4" w:space="0" w:color="auto"/>
              <w:right w:val="single" w:sz="4" w:space="0" w:color="auto"/>
            </w:tcBorders>
            <w:vAlign w:val="center"/>
            <w:hideMark/>
          </w:tcPr>
          <w:p w14:paraId="2692E3C8"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p>
        </w:tc>
        <w:tc>
          <w:tcPr>
            <w:tcW w:w="253" w:type="pct"/>
            <w:tcBorders>
              <w:top w:val="nil"/>
              <w:left w:val="nil"/>
              <w:bottom w:val="single" w:sz="4" w:space="0" w:color="auto"/>
              <w:right w:val="single" w:sz="4" w:space="0" w:color="auto"/>
            </w:tcBorders>
            <w:shd w:val="clear" w:color="000000" w:fill="AEAAAA"/>
            <w:noWrap/>
            <w:vAlign w:val="center"/>
            <w:hideMark/>
          </w:tcPr>
          <w:p w14:paraId="6C392C6C"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(m</w:t>
            </w:r>
            <w:r w:rsidRPr="00A914C1">
              <w:rPr>
                <w:rFonts w:ascii="Garamond" w:eastAsia="Times New Roman" w:hAnsi="Garamond" w:cs="Times New Roman"/>
                <w:b/>
                <w:bCs/>
                <w:sz w:val="12"/>
                <w:szCs w:val="24"/>
                <w:vertAlign w:val="superscript"/>
                <w:lang w:eastAsia="sq-AL"/>
              </w:rPr>
              <w:t>2</w:t>
            </w:r>
            <w:r w:rsidRPr="00791B97">
              <w:rPr>
                <w:rFonts w:ascii="Garamond" w:eastAsia="Times New Roman" w:hAnsi="Garamond" w:cs="Times New Roman"/>
                <w:b/>
                <w:bCs/>
                <w:sz w:val="12"/>
                <w:szCs w:val="24"/>
                <w:lang w:eastAsia="sq-AL"/>
              </w:rPr>
              <w:t>)</w:t>
            </w:r>
          </w:p>
        </w:tc>
        <w:tc>
          <w:tcPr>
            <w:tcW w:w="223" w:type="pct"/>
            <w:tcBorders>
              <w:top w:val="nil"/>
              <w:left w:val="nil"/>
              <w:bottom w:val="single" w:sz="4" w:space="0" w:color="auto"/>
              <w:right w:val="single" w:sz="4" w:space="0" w:color="auto"/>
            </w:tcBorders>
            <w:shd w:val="clear" w:color="000000" w:fill="AEAAAA"/>
            <w:noWrap/>
            <w:vAlign w:val="center"/>
            <w:hideMark/>
          </w:tcPr>
          <w:p w14:paraId="686A10FC"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(lekë/m2)</w:t>
            </w:r>
          </w:p>
        </w:tc>
        <w:tc>
          <w:tcPr>
            <w:tcW w:w="244" w:type="pct"/>
            <w:tcBorders>
              <w:top w:val="nil"/>
              <w:left w:val="nil"/>
              <w:bottom w:val="single" w:sz="4" w:space="0" w:color="auto"/>
              <w:right w:val="single" w:sz="4" w:space="0" w:color="auto"/>
            </w:tcBorders>
            <w:shd w:val="clear" w:color="000000" w:fill="AEAAAA"/>
            <w:noWrap/>
            <w:vAlign w:val="center"/>
            <w:hideMark/>
          </w:tcPr>
          <w:p w14:paraId="481A8729"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lekë</w:t>
            </w:r>
          </w:p>
        </w:tc>
        <w:tc>
          <w:tcPr>
            <w:tcW w:w="168" w:type="pct"/>
            <w:vMerge/>
            <w:tcBorders>
              <w:top w:val="nil"/>
              <w:left w:val="single" w:sz="4" w:space="0" w:color="auto"/>
              <w:bottom w:val="single" w:sz="4" w:space="0" w:color="auto"/>
              <w:right w:val="single" w:sz="4" w:space="0" w:color="auto"/>
            </w:tcBorders>
            <w:vAlign w:val="center"/>
            <w:hideMark/>
          </w:tcPr>
          <w:p w14:paraId="3CC01426"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p>
        </w:tc>
        <w:tc>
          <w:tcPr>
            <w:tcW w:w="253" w:type="pct"/>
            <w:tcBorders>
              <w:top w:val="nil"/>
              <w:left w:val="nil"/>
              <w:bottom w:val="single" w:sz="4" w:space="0" w:color="auto"/>
              <w:right w:val="single" w:sz="4" w:space="0" w:color="auto"/>
            </w:tcBorders>
            <w:shd w:val="clear" w:color="000000" w:fill="AEAAAA"/>
            <w:noWrap/>
            <w:vAlign w:val="center"/>
            <w:hideMark/>
          </w:tcPr>
          <w:p w14:paraId="2FD1D0FE"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(m</w:t>
            </w:r>
            <w:r w:rsidRPr="00A914C1">
              <w:rPr>
                <w:rFonts w:ascii="Garamond" w:eastAsia="Times New Roman" w:hAnsi="Garamond" w:cs="Times New Roman"/>
                <w:b/>
                <w:bCs/>
                <w:sz w:val="12"/>
                <w:szCs w:val="24"/>
                <w:vertAlign w:val="superscript"/>
                <w:lang w:eastAsia="sq-AL"/>
              </w:rPr>
              <w:t>2</w:t>
            </w:r>
            <w:r w:rsidRPr="00791B97">
              <w:rPr>
                <w:rFonts w:ascii="Garamond" w:eastAsia="Times New Roman" w:hAnsi="Garamond" w:cs="Times New Roman"/>
                <w:b/>
                <w:bCs/>
                <w:sz w:val="12"/>
                <w:szCs w:val="24"/>
                <w:lang w:eastAsia="sq-AL"/>
              </w:rPr>
              <w:t>)</w:t>
            </w:r>
          </w:p>
        </w:tc>
        <w:tc>
          <w:tcPr>
            <w:tcW w:w="223" w:type="pct"/>
            <w:tcBorders>
              <w:top w:val="nil"/>
              <w:left w:val="nil"/>
              <w:bottom w:val="single" w:sz="4" w:space="0" w:color="auto"/>
              <w:right w:val="single" w:sz="4" w:space="0" w:color="auto"/>
            </w:tcBorders>
            <w:shd w:val="clear" w:color="000000" w:fill="AEAAAA"/>
            <w:noWrap/>
            <w:vAlign w:val="center"/>
            <w:hideMark/>
          </w:tcPr>
          <w:p w14:paraId="1F4B7C4A"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(lekë/m</w:t>
            </w:r>
            <w:r w:rsidRPr="00A914C1">
              <w:rPr>
                <w:rFonts w:ascii="Garamond" w:eastAsia="Times New Roman" w:hAnsi="Garamond" w:cs="Times New Roman"/>
                <w:b/>
                <w:bCs/>
                <w:sz w:val="12"/>
                <w:szCs w:val="24"/>
                <w:vertAlign w:val="superscript"/>
                <w:lang w:eastAsia="sq-AL"/>
              </w:rPr>
              <w:t>2</w:t>
            </w:r>
            <w:r w:rsidRPr="00791B97">
              <w:rPr>
                <w:rFonts w:ascii="Garamond" w:eastAsia="Times New Roman" w:hAnsi="Garamond" w:cs="Times New Roman"/>
                <w:b/>
                <w:bCs/>
                <w:sz w:val="12"/>
                <w:szCs w:val="24"/>
                <w:lang w:eastAsia="sq-AL"/>
              </w:rPr>
              <w:t>)</w:t>
            </w:r>
          </w:p>
        </w:tc>
        <w:tc>
          <w:tcPr>
            <w:tcW w:w="151" w:type="pct"/>
            <w:tcBorders>
              <w:top w:val="nil"/>
              <w:left w:val="nil"/>
              <w:bottom w:val="single" w:sz="4" w:space="0" w:color="auto"/>
              <w:right w:val="single" w:sz="4" w:space="0" w:color="auto"/>
            </w:tcBorders>
            <w:shd w:val="clear" w:color="000000" w:fill="AEAAAA"/>
            <w:noWrap/>
            <w:vAlign w:val="center"/>
            <w:hideMark/>
          </w:tcPr>
          <w:p w14:paraId="2DEBD875"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lekë</w:t>
            </w:r>
          </w:p>
        </w:tc>
        <w:tc>
          <w:tcPr>
            <w:tcW w:w="168" w:type="pct"/>
            <w:vMerge/>
            <w:tcBorders>
              <w:top w:val="nil"/>
              <w:left w:val="single" w:sz="4" w:space="0" w:color="auto"/>
              <w:bottom w:val="single" w:sz="4" w:space="0" w:color="auto"/>
              <w:right w:val="single" w:sz="4" w:space="0" w:color="auto"/>
            </w:tcBorders>
            <w:vAlign w:val="center"/>
            <w:hideMark/>
          </w:tcPr>
          <w:p w14:paraId="4BDBD579"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p>
        </w:tc>
        <w:tc>
          <w:tcPr>
            <w:tcW w:w="253" w:type="pct"/>
            <w:tcBorders>
              <w:top w:val="nil"/>
              <w:left w:val="nil"/>
              <w:bottom w:val="single" w:sz="4" w:space="0" w:color="auto"/>
              <w:right w:val="single" w:sz="4" w:space="0" w:color="auto"/>
            </w:tcBorders>
            <w:shd w:val="clear" w:color="000000" w:fill="AEAAAA"/>
            <w:noWrap/>
            <w:vAlign w:val="center"/>
            <w:hideMark/>
          </w:tcPr>
          <w:p w14:paraId="4B995C0C"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(m</w:t>
            </w:r>
            <w:r w:rsidRPr="00A914C1">
              <w:rPr>
                <w:rFonts w:ascii="Garamond" w:eastAsia="Times New Roman" w:hAnsi="Garamond" w:cs="Times New Roman"/>
                <w:b/>
                <w:bCs/>
                <w:sz w:val="12"/>
                <w:szCs w:val="24"/>
                <w:vertAlign w:val="superscript"/>
                <w:lang w:eastAsia="sq-AL"/>
              </w:rPr>
              <w:t>2</w:t>
            </w:r>
            <w:r w:rsidRPr="00791B97">
              <w:rPr>
                <w:rFonts w:ascii="Garamond" w:eastAsia="Times New Roman" w:hAnsi="Garamond" w:cs="Times New Roman"/>
                <w:b/>
                <w:bCs/>
                <w:sz w:val="12"/>
                <w:szCs w:val="24"/>
                <w:lang w:eastAsia="sq-AL"/>
              </w:rPr>
              <w:t>)</w:t>
            </w:r>
          </w:p>
        </w:tc>
        <w:tc>
          <w:tcPr>
            <w:tcW w:w="229" w:type="pct"/>
            <w:tcBorders>
              <w:top w:val="nil"/>
              <w:left w:val="nil"/>
              <w:bottom w:val="single" w:sz="4" w:space="0" w:color="auto"/>
              <w:right w:val="single" w:sz="4" w:space="0" w:color="auto"/>
            </w:tcBorders>
            <w:shd w:val="clear" w:color="000000" w:fill="AEAAAA"/>
            <w:noWrap/>
            <w:vAlign w:val="center"/>
            <w:hideMark/>
          </w:tcPr>
          <w:p w14:paraId="556D1113" w14:textId="03B161D8"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lekë</w:t>
            </w:r>
          </w:p>
        </w:tc>
        <w:tc>
          <w:tcPr>
            <w:tcW w:w="168" w:type="pct"/>
            <w:vMerge/>
            <w:tcBorders>
              <w:top w:val="nil"/>
              <w:left w:val="single" w:sz="4" w:space="0" w:color="auto"/>
              <w:bottom w:val="single" w:sz="4" w:space="0" w:color="auto"/>
              <w:right w:val="single" w:sz="4" w:space="0" w:color="auto"/>
            </w:tcBorders>
            <w:vAlign w:val="center"/>
            <w:hideMark/>
          </w:tcPr>
          <w:p w14:paraId="5434E223"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p>
        </w:tc>
        <w:tc>
          <w:tcPr>
            <w:tcW w:w="253" w:type="pct"/>
            <w:tcBorders>
              <w:top w:val="nil"/>
              <w:left w:val="nil"/>
              <w:bottom w:val="single" w:sz="4" w:space="0" w:color="auto"/>
              <w:right w:val="single" w:sz="4" w:space="0" w:color="auto"/>
            </w:tcBorders>
            <w:shd w:val="clear" w:color="000000" w:fill="AEAAAA"/>
            <w:noWrap/>
            <w:vAlign w:val="center"/>
            <w:hideMark/>
          </w:tcPr>
          <w:p w14:paraId="0BD4498F"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(m</w:t>
            </w:r>
            <w:r w:rsidRPr="00A914C1">
              <w:rPr>
                <w:rFonts w:ascii="Garamond" w:eastAsia="Times New Roman" w:hAnsi="Garamond" w:cs="Times New Roman"/>
                <w:b/>
                <w:bCs/>
                <w:sz w:val="12"/>
                <w:szCs w:val="24"/>
                <w:vertAlign w:val="superscript"/>
                <w:lang w:eastAsia="sq-AL"/>
              </w:rPr>
              <w:t>2</w:t>
            </w:r>
            <w:r w:rsidRPr="00791B97">
              <w:rPr>
                <w:rFonts w:ascii="Garamond" w:eastAsia="Times New Roman" w:hAnsi="Garamond" w:cs="Times New Roman"/>
                <w:b/>
                <w:bCs/>
                <w:sz w:val="12"/>
                <w:szCs w:val="24"/>
                <w:lang w:eastAsia="sq-AL"/>
              </w:rPr>
              <w:t>)</w:t>
            </w:r>
          </w:p>
        </w:tc>
        <w:tc>
          <w:tcPr>
            <w:tcW w:w="175" w:type="pct"/>
            <w:tcBorders>
              <w:top w:val="nil"/>
              <w:left w:val="nil"/>
              <w:bottom w:val="single" w:sz="4" w:space="0" w:color="auto"/>
              <w:right w:val="single" w:sz="4" w:space="0" w:color="auto"/>
            </w:tcBorders>
            <w:shd w:val="clear" w:color="000000" w:fill="AEAAAA"/>
            <w:noWrap/>
            <w:vAlign w:val="center"/>
            <w:hideMark/>
          </w:tcPr>
          <w:p w14:paraId="6A16BB8D"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m</w:t>
            </w:r>
            <w:r w:rsidRPr="00A914C1">
              <w:rPr>
                <w:rFonts w:ascii="Garamond" w:eastAsia="Times New Roman" w:hAnsi="Garamond" w:cs="Times New Roman"/>
                <w:b/>
                <w:bCs/>
                <w:sz w:val="12"/>
                <w:szCs w:val="24"/>
                <w:vertAlign w:val="superscript"/>
                <w:lang w:eastAsia="sq-AL"/>
              </w:rPr>
              <w:t>2</w:t>
            </w:r>
          </w:p>
        </w:tc>
        <w:tc>
          <w:tcPr>
            <w:tcW w:w="151" w:type="pct"/>
            <w:tcBorders>
              <w:top w:val="nil"/>
              <w:left w:val="nil"/>
              <w:bottom w:val="single" w:sz="4" w:space="0" w:color="auto"/>
              <w:right w:val="single" w:sz="4" w:space="0" w:color="auto"/>
            </w:tcBorders>
            <w:shd w:val="clear" w:color="000000" w:fill="AEAAAA"/>
            <w:noWrap/>
            <w:vAlign w:val="center"/>
            <w:hideMark/>
          </w:tcPr>
          <w:p w14:paraId="052610CE"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lekë</w:t>
            </w: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205F56A0"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p>
        </w:tc>
        <w:tc>
          <w:tcPr>
            <w:tcW w:w="244" w:type="pct"/>
            <w:vMerge/>
            <w:tcBorders>
              <w:top w:val="single" w:sz="4" w:space="0" w:color="auto"/>
              <w:left w:val="single" w:sz="4" w:space="0" w:color="auto"/>
              <w:bottom w:val="single" w:sz="4" w:space="0" w:color="000000"/>
              <w:right w:val="single" w:sz="4" w:space="0" w:color="auto"/>
            </w:tcBorders>
            <w:vAlign w:val="center"/>
            <w:hideMark/>
          </w:tcPr>
          <w:p w14:paraId="048AFCEA"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p>
        </w:tc>
      </w:tr>
      <w:tr w:rsidR="00791B97" w:rsidRPr="00791B97" w14:paraId="20BD05F8" w14:textId="77777777" w:rsidTr="00791B97">
        <w:trPr>
          <w:trHeight w:val="20"/>
          <w:jc w:val="center"/>
        </w:trPr>
        <w:tc>
          <w:tcPr>
            <w:tcW w:w="270" w:type="pct"/>
            <w:tcBorders>
              <w:top w:val="nil"/>
              <w:left w:val="single" w:sz="4" w:space="0" w:color="auto"/>
              <w:bottom w:val="single" w:sz="4" w:space="0" w:color="auto"/>
              <w:right w:val="single" w:sz="4" w:space="0" w:color="auto"/>
            </w:tcBorders>
            <w:shd w:val="clear" w:color="000000" w:fill="FFFFFF"/>
            <w:noWrap/>
            <w:vAlign w:val="center"/>
            <w:hideMark/>
          </w:tcPr>
          <w:p w14:paraId="4247C788"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341</w:t>
            </w:r>
          </w:p>
        </w:tc>
        <w:tc>
          <w:tcPr>
            <w:tcW w:w="171" w:type="pct"/>
            <w:tcBorders>
              <w:top w:val="nil"/>
              <w:left w:val="nil"/>
              <w:bottom w:val="single" w:sz="4" w:space="0" w:color="auto"/>
              <w:right w:val="single" w:sz="4" w:space="0" w:color="auto"/>
            </w:tcBorders>
            <w:shd w:val="clear" w:color="000000" w:fill="FFFFFF"/>
            <w:vAlign w:val="center"/>
            <w:hideMark/>
          </w:tcPr>
          <w:p w14:paraId="56BE8472"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 xml:space="preserve">Hamit </w:t>
            </w:r>
          </w:p>
        </w:tc>
        <w:tc>
          <w:tcPr>
            <w:tcW w:w="165" w:type="pct"/>
            <w:tcBorders>
              <w:top w:val="nil"/>
              <w:left w:val="nil"/>
              <w:bottom w:val="single" w:sz="4" w:space="0" w:color="auto"/>
              <w:right w:val="single" w:sz="4" w:space="0" w:color="auto"/>
            </w:tcBorders>
            <w:shd w:val="clear" w:color="000000" w:fill="FFFFFF"/>
            <w:vAlign w:val="center"/>
            <w:hideMark/>
          </w:tcPr>
          <w:p w14:paraId="65EBF3A9"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Velo</w:t>
            </w:r>
          </w:p>
        </w:tc>
        <w:tc>
          <w:tcPr>
            <w:tcW w:w="201" w:type="pct"/>
            <w:tcBorders>
              <w:top w:val="nil"/>
              <w:left w:val="nil"/>
              <w:bottom w:val="single" w:sz="4" w:space="0" w:color="auto"/>
              <w:right w:val="single" w:sz="4" w:space="0" w:color="auto"/>
            </w:tcBorders>
            <w:shd w:val="clear" w:color="000000" w:fill="FFFFFF"/>
            <w:vAlign w:val="center"/>
            <w:hideMark/>
          </w:tcPr>
          <w:p w14:paraId="27EF89F7"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Allka</w:t>
            </w:r>
          </w:p>
        </w:tc>
        <w:tc>
          <w:tcPr>
            <w:tcW w:w="228" w:type="pct"/>
            <w:tcBorders>
              <w:top w:val="nil"/>
              <w:left w:val="nil"/>
              <w:bottom w:val="single" w:sz="4" w:space="0" w:color="auto"/>
              <w:right w:val="single" w:sz="4" w:space="0" w:color="auto"/>
            </w:tcBorders>
            <w:shd w:val="clear" w:color="000000" w:fill="FFFFFF"/>
            <w:noWrap/>
            <w:vAlign w:val="center"/>
            <w:hideMark/>
          </w:tcPr>
          <w:p w14:paraId="2B8C8DF7"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8170</w:t>
            </w:r>
          </w:p>
        </w:tc>
        <w:tc>
          <w:tcPr>
            <w:tcW w:w="198" w:type="pct"/>
            <w:tcBorders>
              <w:top w:val="nil"/>
              <w:left w:val="nil"/>
              <w:bottom w:val="single" w:sz="4" w:space="0" w:color="auto"/>
              <w:right w:val="single" w:sz="4" w:space="0" w:color="auto"/>
            </w:tcBorders>
            <w:shd w:val="clear" w:color="000000" w:fill="FFFFFF"/>
            <w:vAlign w:val="center"/>
            <w:hideMark/>
          </w:tcPr>
          <w:p w14:paraId="4A2F1046"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3/160</w:t>
            </w:r>
          </w:p>
        </w:tc>
        <w:tc>
          <w:tcPr>
            <w:tcW w:w="198" w:type="pct"/>
            <w:tcBorders>
              <w:top w:val="nil"/>
              <w:left w:val="nil"/>
              <w:bottom w:val="single" w:sz="4" w:space="0" w:color="auto"/>
              <w:right w:val="single" w:sz="4" w:space="0" w:color="auto"/>
            </w:tcBorders>
            <w:shd w:val="clear" w:color="000000" w:fill="FFFFFF"/>
            <w:vAlign w:val="center"/>
            <w:hideMark/>
          </w:tcPr>
          <w:p w14:paraId="0A903B94"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Truall</w:t>
            </w:r>
          </w:p>
        </w:tc>
        <w:tc>
          <w:tcPr>
            <w:tcW w:w="168" w:type="pct"/>
            <w:tcBorders>
              <w:top w:val="nil"/>
              <w:left w:val="nil"/>
              <w:bottom w:val="single" w:sz="4" w:space="0" w:color="auto"/>
              <w:right w:val="single" w:sz="4" w:space="0" w:color="auto"/>
            </w:tcBorders>
            <w:shd w:val="clear" w:color="000000" w:fill="FFFFFF"/>
            <w:vAlign w:val="center"/>
            <w:hideMark/>
          </w:tcPr>
          <w:p w14:paraId="5A4A50B1" w14:textId="6318612E"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1,167</w:t>
            </w:r>
          </w:p>
        </w:tc>
        <w:tc>
          <w:tcPr>
            <w:tcW w:w="253" w:type="pct"/>
            <w:tcBorders>
              <w:top w:val="nil"/>
              <w:left w:val="nil"/>
              <w:bottom w:val="single" w:sz="4" w:space="0" w:color="auto"/>
              <w:right w:val="single" w:sz="4" w:space="0" w:color="auto"/>
            </w:tcBorders>
            <w:shd w:val="clear" w:color="000000" w:fill="FFFFFF"/>
            <w:noWrap/>
            <w:vAlign w:val="center"/>
            <w:hideMark/>
          </w:tcPr>
          <w:p w14:paraId="70066B6B"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72.2</w:t>
            </w:r>
          </w:p>
        </w:tc>
        <w:tc>
          <w:tcPr>
            <w:tcW w:w="223" w:type="pct"/>
            <w:tcBorders>
              <w:top w:val="nil"/>
              <w:left w:val="nil"/>
              <w:bottom w:val="single" w:sz="4" w:space="0" w:color="auto"/>
              <w:right w:val="single" w:sz="4" w:space="0" w:color="auto"/>
            </w:tcBorders>
            <w:shd w:val="clear" w:color="000000" w:fill="FFFFFF"/>
            <w:noWrap/>
            <w:vAlign w:val="center"/>
            <w:hideMark/>
          </w:tcPr>
          <w:p w14:paraId="4153CEE6"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32,878</w:t>
            </w:r>
          </w:p>
        </w:tc>
        <w:tc>
          <w:tcPr>
            <w:tcW w:w="244" w:type="pct"/>
            <w:tcBorders>
              <w:top w:val="nil"/>
              <w:left w:val="nil"/>
              <w:bottom w:val="single" w:sz="4" w:space="0" w:color="auto"/>
              <w:right w:val="single" w:sz="4" w:space="0" w:color="auto"/>
            </w:tcBorders>
            <w:shd w:val="clear" w:color="000000" w:fill="FFFFFF"/>
            <w:noWrap/>
            <w:vAlign w:val="center"/>
            <w:hideMark/>
          </w:tcPr>
          <w:p w14:paraId="47351E1A"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2,373,791.60</w:t>
            </w:r>
          </w:p>
        </w:tc>
        <w:tc>
          <w:tcPr>
            <w:tcW w:w="168" w:type="pct"/>
            <w:tcBorders>
              <w:top w:val="nil"/>
              <w:left w:val="nil"/>
              <w:bottom w:val="single" w:sz="4" w:space="0" w:color="auto"/>
              <w:right w:val="single" w:sz="4" w:space="0" w:color="auto"/>
            </w:tcBorders>
            <w:shd w:val="clear" w:color="000000" w:fill="FFFFFF"/>
            <w:noWrap/>
            <w:vAlign w:val="center"/>
            <w:hideMark/>
          </w:tcPr>
          <w:p w14:paraId="5BD0AF66" w14:textId="39551F24"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p>
        </w:tc>
        <w:tc>
          <w:tcPr>
            <w:tcW w:w="253" w:type="pct"/>
            <w:tcBorders>
              <w:top w:val="nil"/>
              <w:left w:val="nil"/>
              <w:bottom w:val="single" w:sz="4" w:space="0" w:color="auto"/>
              <w:right w:val="single" w:sz="4" w:space="0" w:color="auto"/>
            </w:tcBorders>
            <w:shd w:val="clear" w:color="000000" w:fill="FFFFFF"/>
            <w:noWrap/>
            <w:vAlign w:val="center"/>
            <w:hideMark/>
          </w:tcPr>
          <w:p w14:paraId="6FE5C1BB" w14:textId="11988478"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p>
        </w:tc>
        <w:tc>
          <w:tcPr>
            <w:tcW w:w="223" w:type="pct"/>
            <w:tcBorders>
              <w:top w:val="nil"/>
              <w:left w:val="nil"/>
              <w:bottom w:val="single" w:sz="4" w:space="0" w:color="auto"/>
              <w:right w:val="single" w:sz="4" w:space="0" w:color="auto"/>
            </w:tcBorders>
            <w:shd w:val="clear" w:color="000000" w:fill="FFFFFF"/>
            <w:noWrap/>
            <w:vAlign w:val="center"/>
            <w:hideMark/>
          </w:tcPr>
          <w:p w14:paraId="5C460F6E" w14:textId="231EA1A6"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p>
        </w:tc>
        <w:tc>
          <w:tcPr>
            <w:tcW w:w="151" w:type="pct"/>
            <w:tcBorders>
              <w:top w:val="nil"/>
              <w:left w:val="nil"/>
              <w:bottom w:val="single" w:sz="4" w:space="0" w:color="auto"/>
              <w:right w:val="single" w:sz="4" w:space="0" w:color="auto"/>
            </w:tcBorders>
            <w:shd w:val="clear" w:color="000000" w:fill="FFFFFF"/>
            <w:noWrap/>
            <w:vAlign w:val="center"/>
            <w:hideMark/>
          </w:tcPr>
          <w:p w14:paraId="06CAC967" w14:textId="692C1DAA" w:rsidR="00791B97" w:rsidRPr="00791B97" w:rsidRDefault="00791B97" w:rsidP="00791B97">
            <w:pPr>
              <w:spacing w:after="0" w:line="240" w:lineRule="auto"/>
              <w:jc w:val="center"/>
              <w:rPr>
                <w:rFonts w:ascii="Garamond" w:eastAsia="Times New Roman" w:hAnsi="Garamond" w:cs="Times New Roman"/>
                <w:b/>
                <w:bCs/>
                <w:color w:val="FFFFFF"/>
                <w:sz w:val="12"/>
                <w:szCs w:val="24"/>
                <w:lang w:eastAsia="sq-AL"/>
              </w:rPr>
            </w:pPr>
          </w:p>
        </w:tc>
        <w:tc>
          <w:tcPr>
            <w:tcW w:w="168" w:type="pct"/>
            <w:tcBorders>
              <w:top w:val="nil"/>
              <w:left w:val="nil"/>
              <w:bottom w:val="single" w:sz="4" w:space="0" w:color="auto"/>
              <w:right w:val="single" w:sz="4" w:space="0" w:color="auto"/>
            </w:tcBorders>
            <w:shd w:val="clear" w:color="000000" w:fill="FFFFFF"/>
            <w:noWrap/>
            <w:vAlign w:val="center"/>
            <w:hideMark/>
          </w:tcPr>
          <w:p w14:paraId="2C9D311D" w14:textId="5C7B0415"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p>
        </w:tc>
        <w:tc>
          <w:tcPr>
            <w:tcW w:w="253" w:type="pct"/>
            <w:tcBorders>
              <w:top w:val="nil"/>
              <w:left w:val="nil"/>
              <w:bottom w:val="single" w:sz="4" w:space="0" w:color="auto"/>
              <w:right w:val="single" w:sz="4" w:space="0" w:color="auto"/>
            </w:tcBorders>
            <w:shd w:val="clear" w:color="000000" w:fill="FFFFFF"/>
            <w:noWrap/>
            <w:vAlign w:val="center"/>
            <w:hideMark/>
          </w:tcPr>
          <w:p w14:paraId="2571DDF5" w14:textId="76588719"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p>
        </w:tc>
        <w:tc>
          <w:tcPr>
            <w:tcW w:w="229" w:type="pct"/>
            <w:tcBorders>
              <w:top w:val="nil"/>
              <w:left w:val="nil"/>
              <w:bottom w:val="single" w:sz="4" w:space="0" w:color="auto"/>
              <w:right w:val="single" w:sz="4" w:space="0" w:color="auto"/>
            </w:tcBorders>
            <w:shd w:val="clear" w:color="000000" w:fill="FFFFFF"/>
            <w:noWrap/>
            <w:vAlign w:val="center"/>
            <w:hideMark/>
          </w:tcPr>
          <w:p w14:paraId="1C5CD13B" w14:textId="3D43B262"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p>
        </w:tc>
        <w:tc>
          <w:tcPr>
            <w:tcW w:w="168" w:type="pct"/>
            <w:tcBorders>
              <w:top w:val="nil"/>
              <w:left w:val="nil"/>
              <w:bottom w:val="single" w:sz="4" w:space="0" w:color="auto"/>
              <w:right w:val="single" w:sz="4" w:space="0" w:color="auto"/>
            </w:tcBorders>
            <w:shd w:val="clear" w:color="000000" w:fill="FFFFFF"/>
            <w:noWrap/>
            <w:vAlign w:val="center"/>
            <w:hideMark/>
          </w:tcPr>
          <w:p w14:paraId="2FD37404" w14:textId="691F2D72"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p>
        </w:tc>
        <w:tc>
          <w:tcPr>
            <w:tcW w:w="253" w:type="pct"/>
            <w:tcBorders>
              <w:top w:val="nil"/>
              <w:left w:val="nil"/>
              <w:bottom w:val="single" w:sz="4" w:space="0" w:color="auto"/>
              <w:right w:val="single" w:sz="4" w:space="0" w:color="auto"/>
            </w:tcBorders>
            <w:shd w:val="clear" w:color="000000" w:fill="FFFFFF"/>
            <w:noWrap/>
            <w:vAlign w:val="center"/>
            <w:hideMark/>
          </w:tcPr>
          <w:p w14:paraId="5E167E0A" w14:textId="6C1F5211"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p>
        </w:tc>
        <w:tc>
          <w:tcPr>
            <w:tcW w:w="175" w:type="pct"/>
            <w:tcBorders>
              <w:top w:val="nil"/>
              <w:left w:val="nil"/>
              <w:bottom w:val="single" w:sz="4" w:space="0" w:color="auto"/>
              <w:right w:val="single" w:sz="4" w:space="0" w:color="auto"/>
            </w:tcBorders>
            <w:shd w:val="clear" w:color="000000" w:fill="FFFFFF"/>
            <w:noWrap/>
            <w:vAlign w:val="center"/>
            <w:hideMark/>
          </w:tcPr>
          <w:p w14:paraId="1FEE3581" w14:textId="089C4659"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p>
        </w:tc>
        <w:tc>
          <w:tcPr>
            <w:tcW w:w="151" w:type="pct"/>
            <w:tcBorders>
              <w:top w:val="nil"/>
              <w:left w:val="nil"/>
              <w:bottom w:val="single" w:sz="4" w:space="0" w:color="auto"/>
              <w:right w:val="single" w:sz="4" w:space="0" w:color="auto"/>
            </w:tcBorders>
            <w:shd w:val="clear" w:color="000000" w:fill="FFFFFF"/>
            <w:noWrap/>
            <w:vAlign w:val="center"/>
            <w:hideMark/>
          </w:tcPr>
          <w:p w14:paraId="1087509C" w14:textId="6E4374A9" w:rsidR="00791B97" w:rsidRPr="00791B97" w:rsidRDefault="00791B97" w:rsidP="00791B97">
            <w:pPr>
              <w:spacing w:after="0" w:line="240" w:lineRule="auto"/>
              <w:jc w:val="center"/>
              <w:rPr>
                <w:rFonts w:ascii="Garamond" w:eastAsia="Times New Roman" w:hAnsi="Garamond" w:cs="Times New Roman"/>
                <w:b/>
                <w:bCs/>
                <w:color w:val="FFFFFF"/>
                <w:sz w:val="12"/>
                <w:szCs w:val="24"/>
                <w:lang w:eastAsia="sq-AL"/>
              </w:rPr>
            </w:pPr>
          </w:p>
        </w:tc>
        <w:tc>
          <w:tcPr>
            <w:tcW w:w="244" w:type="pct"/>
            <w:tcBorders>
              <w:top w:val="nil"/>
              <w:left w:val="nil"/>
              <w:bottom w:val="single" w:sz="4" w:space="0" w:color="auto"/>
              <w:right w:val="single" w:sz="4" w:space="0" w:color="auto"/>
            </w:tcBorders>
            <w:shd w:val="clear" w:color="000000" w:fill="FFFFFF"/>
            <w:noWrap/>
            <w:vAlign w:val="center"/>
            <w:hideMark/>
          </w:tcPr>
          <w:p w14:paraId="322C33BC" w14:textId="77777777"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r w:rsidRPr="00791B97">
              <w:rPr>
                <w:rFonts w:ascii="Garamond" w:eastAsia="Times New Roman" w:hAnsi="Garamond" w:cs="Times New Roman"/>
                <w:b/>
                <w:bCs/>
                <w:sz w:val="12"/>
                <w:szCs w:val="24"/>
                <w:lang w:eastAsia="sq-AL"/>
              </w:rPr>
              <w:t>2,373,791.60</w:t>
            </w:r>
          </w:p>
        </w:tc>
        <w:tc>
          <w:tcPr>
            <w:tcW w:w="244" w:type="pct"/>
            <w:tcBorders>
              <w:top w:val="nil"/>
              <w:left w:val="nil"/>
              <w:bottom w:val="single" w:sz="4" w:space="0" w:color="auto"/>
              <w:right w:val="single" w:sz="4" w:space="0" w:color="auto"/>
            </w:tcBorders>
            <w:shd w:val="clear" w:color="000000" w:fill="FFFFFF"/>
            <w:vAlign w:val="center"/>
            <w:hideMark/>
          </w:tcPr>
          <w:p w14:paraId="64C97C93" w14:textId="2CDF574E" w:rsidR="00791B97" w:rsidRPr="00791B97" w:rsidRDefault="00791B97" w:rsidP="00791B97">
            <w:pPr>
              <w:spacing w:after="0" w:line="240" w:lineRule="auto"/>
              <w:jc w:val="center"/>
              <w:rPr>
                <w:rFonts w:ascii="Garamond" w:eastAsia="Times New Roman" w:hAnsi="Garamond" w:cs="Times New Roman"/>
                <w:b/>
                <w:bCs/>
                <w:sz w:val="12"/>
                <w:szCs w:val="24"/>
                <w:lang w:eastAsia="sq-AL"/>
              </w:rPr>
            </w:pPr>
          </w:p>
        </w:tc>
      </w:tr>
      <w:tr w:rsidR="00791B97" w:rsidRPr="00791B97" w14:paraId="3C735E87" w14:textId="77777777" w:rsidTr="00791B97">
        <w:trPr>
          <w:trHeight w:val="20"/>
          <w:jc w:val="center"/>
        </w:trPr>
        <w:tc>
          <w:tcPr>
            <w:tcW w:w="4361" w:type="pct"/>
            <w:gridSpan w:val="21"/>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E9ACA85" w14:textId="0F2511FF" w:rsidR="00791B97" w:rsidRPr="00791B97" w:rsidRDefault="00791B97" w:rsidP="00791B97">
            <w:pPr>
              <w:spacing w:after="0" w:line="240" w:lineRule="auto"/>
              <w:jc w:val="center"/>
              <w:rPr>
                <w:rFonts w:ascii="Garamond" w:eastAsia="Times New Roman" w:hAnsi="Garamond" w:cs="Times New Roman"/>
                <w:b/>
                <w:bCs/>
                <w:color w:val="000000"/>
                <w:sz w:val="12"/>
                <w:szCs w:val="24"/>
                <w:lang w:eastAsia="sq-AL"/>
              </w:rPr>
            </w:pPr>
            <w:r w:rsidRPr="00791B97">
              <w:rPr>
                <w:rFonts w:ascii="Garamond" w:eastAsia="Times New Roman" w:hAnsi="Garamond" w:cs="Times New Roman"/>
                <w:b/>
                <w:bCs/>
                <w:color w:val="000000"/>
                <w:sz w:val="12"/>
                <w:szCs w:val="24"/>
                <w:lang w:eastAsia="sq-AL"/>
              </w:rPr>
              <w:t>VLERA TOTALE</w:t>
            </w:r>
          </w:p>
        </w:tc>
        <w:tc>
          <w:tcPr>
            <w:tcW w:w="151" w:type="pct"/>
            <w:tcBorders>
              <w:top w:val="nil"/>
              <w:left w:val="nil"/>
              <w:bottom w:val="single" w:sz="4" w:space="0" w:color="auto"/>
              <w:right w:val="nil"/>
            </w:tcBorders>
            <w:shd w:val="clear" w:color="auto" w:fill="auto"/>
            <w:vAlign w:val="center"/>
            <w:hideMark/>
          </w:tcPr>
          <w:p w14:paraId="63581878" w14:textId="1C302221" w:rsidR="00791B97" w:rsidRPr="00791B97" w:rsidRDefault="00791B97" w:rsidP="00791B97">
            <w:pPr>
              <w:spacing w:after="0" w:line="240" w:lineRule="auto"/>
              <w:jc w:val="center"/>
              <w:rPr>
                <w:rFonts w:ascii="Garamond" w:eastAsia="Times New Roman" w:hAnsi="Garamond" w:cs="Times New Roman"/>
                <w:b/>
                <w:bCs/>
                <w:color w:val="000000"/>
                <w:sz w:val="12"/>
                <w:szCs w:val="24"/>
                <w:lang w:eastAsia="sq-AL"/>
              </w:rPr>
            </w:pPr>
          </w:p>
        </w:tc>
        <w:tc>
          <w:tcPr>
            <w:tcW w:w="244" w:type="pct"/>
            <w:tcBorders>
              <w:top w:val="nil"/>
              <w:left w:val="single" w:sz="4" w:space="0" w:color="auto"/>
              <w:bottom w:val="single" w:sz="4" w:space="0" w:color="auto"/>
              <w:right w:val="nil"/>
            </w:tcBorders>
            <w:shd w:val="clear" w:color="auto" w:fill="auto"/>
            <w:vAlign w:val="center"/>
            <w:hideMark/>
          </w:tcPr>
          <w:p w14:paraId="45AFB0B9" w14:textId="77777777" w:rsidR="00791B97" w:rsidRPr="00791B97" w:rsidRDefault="00791B97" w:rsidP="00791B97">
            <w:pPr>
              <w:spacing w:after="0" w:line="240" w:lineRule="auto"/>
              <w:jc w:val="center"/>
              <w:rPr>
                <w:rFonts w:ascii="Garamond" w:eastAsia="Times New Roman" w:hAnsi="Garamond" w:cs="Times New Roman"/>
                <w:b/>
                <w:bCs/>
                <w:color w:val="000000"/>
                <w:sz w:val="12"/>
                <w:szCs w:val="24"/>
                <w:lang w:eastAsia="sq-AL"/>
              </w:rPr>
            </w:pPr>
            <w:r w:rsidRPr="00791B97">
              <w:rPr>
                <w:rFonts w:ascii="Garamond" w:eastAsia="Times New Roman" w:hAnsi="Garamond" w:cs="Times New Roman"/>
                <w:b/>
                <w:bCs/>
                <w:color w:val="000000"/>
                <w:sz w:val="12"/>
                <w:szCs w:val="24"/>
                <w:lang w:eastAsia="sq-AL"/>
              </w:rPr>
              <w:t>2,373,791.60</w:t>
            </w:r>
          </w:p>
        </w:tc>
        <w:tc>
          <w:tcPr>
            <w:tcW w:w="244" w:type="pct"/>
            <w:tcBorders>
              <w:top w:val="nil"/>
              <w:left w:val="nil"/>
              <w:bottom w:val="single" w:sz="4" w:space="0" w:color="auto"/>
              <w:right w:val="single" w:sz="4" w:space="0" w:color="auto"/>
            </w:tcBorders>
            <w:shd w:val="clear" w:color="auto" w:fill="auto"/>
            <w:vAlign w:val="center"/>
            <w:hideMark/>
          </w:tcPr>
          <w:p w14:paraId="001B9016" w14:textId="7D9A1231" w:rsidR="00791B97" w:rsidRPr="00791B97" w:rsidRDefault="00791B97" w:rsidP="00791B97">
            <w:pPr>
              <w:spacing w:after="0" w:line="240" w:lineRule="auto"/>
              <w:jc w:val="center"/>
              <w:rPr>
                <w:rFonts w:ascii="Garamond" w:eastAsia="Times New Roman" w:hAnsi="Garamond" w:cs="Times New Roman"/>
                <w:b/>
                <w:bCs/>
                <w:color w:val="000000"/>
                <w:sz w:val="12"/>
                <w:szCs w:val="24"/>
                <w:lang w:eastAsia="sq-AL"/>
              </w:rPr>
            </w:pPr>
          </w:p>
        </w:tc>
      </w:tr>
    </w:tbl>
    <w:p w14:paraId="6EB96BF5" w14:textId="77777777" w:rsidR="00791B97" w:rsidRPr="00791B97" w:rsidRDefault="00791B97" w:rsidP="00791B97">
      <w:pPr>
        <w:spacing w:after="0" w:line="240" w:lineRule="auto"/>
        <w:ind w:firstLine="284"/>
        <w:jc w:val="center"/>
        <w:rPr>
          <w:rFonts w:ascii="Garamond" w:hAnsi="Garamond"/>
          <w:b/>
          <w:sz w:val="24"/>
        </w:rPr>
      </w:pPr>
    </w:p>
    <w:sectPr w:rsidR="00791B97" w:rsidRPr="00791B97" w:rsidSect="000D6573">
      <w:pgSz w:w="16838" w:h="11906"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2F3EBD" w14:textId="77777777" w:rsidR="00791B97" w:rsidRDefault="00791B97" w:rsidP="00594BBD">
      <w:pPr>
        <w:spacing w:after="0" w:line="240" w:lineRule="auto"/>
      </w:pPr>
      <w:r>
        <w:separator/>
      </w:r>
    </w:p>
  </w:endnote>
  <w:endnote w:type="continuationSeparator" w:id="0">
    <w:p w14:paraId="677A5326" w14:textId="77777777" w:rsidR="00791B97" w:rsidRDefault="00791B97" w:rsidP="00594BBD">
      <w:pPr>
        <w:spacing w:after="0" w:line="240" w:lineRule="auto"/>
      </w:pPr>
      <w:r>
        <w:continuationSeparator/>
      </w:r>
    </w:p>
  </w:endnote>
  <w:endnote w:type="continuationNotice" w:id="1">
    <w:p w14:paraId="31D27C32" w14:textId="77777777" w:rsidR="00791B97" w:rsidRDefault="00791B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ED0507" w14:textId="77777777" w:rsidR="00791B97" w:rsidRDefault="00791B97" w:rsidP="00594BBD">
      <w:pPr>
        <w:spacing w:after="0" w:line="240" w:lineRule="auto"/>
      </w:pPr>
      <w:r>
        <w:separator/>
      </w:r>
    </w:p>
  </w:footnote>
  <w:footnote w:type="continuationSeparator" w:id="0">
    <w:p w14:paraId="6A69DB0D" w14:textId="77777777" w:rsidR="00791B97" w:rsidRDefault="00791B97" w:rsidP="00594BBD">
      <w:pPr>
        <w:spacing w:after="0" w:line="240" w:lineRule="auto"/>
      </w:pPr>
      <w:r>
        <w:continuationSeparator/>
      </w:r>
    </w:p>
  </w:footnote>
  <w:footnote w:type="continuationNotice" w:id="1">
    <w:p w14:paraId="3DC6D042" w14:textId="77777777" w:rsidR="00791B97" w:rsidRDefault="00791B97">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1315F6"/>
    <w:multiLevelType w:val="hybridMultilevel"/>
    <w:tmpl w:val="86C0E3FE"/>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26E1476"/>
    <w:multiLevelType w:val="hybridMultilevel"/>
    <w:tmpl w:val="5D02A1C6"/>
    <w:lvl w:ilvl="0" w:tplc="37121636">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820179D"/>
    <w:multiLevelType w:val="hybridMultilevel"/>
    <w:tmpl w:val="28466214"/>
    <w:lvl w:ilvl="0" w:tplc="E8AA418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50531A"/>
    <w:multiLevelType w:val="hybridMultilevel"/>
    <w:tmpl w:val="4B240700"/>
    <w:lvl w:ilvl="0" w:tplc="F4B089FE">
      <w:start w:val="1"/>
      <w:numFmt w:val="lowerLetter"/>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4B275DB"/>
    <w:multiLevelType w:val="hybridMultilevel"/>
    <w:tmpl w:val="3536E6EE"/>
    <w:lvl w:ilvl="0" w:tplc="6AC6BD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FE6591"/>
    <w:multiLevelType w:val="hybridMultilevel"/>
    <w:tmpl w:val="1E3ADC2A"/>
    <w:lvl w:ilvl="0" w:tplc="11E01E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5"/>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A43"/>
    <w:rsid w:val="00031DDF"/>
    <w:rsid w:val="000D6573"/>
    <w:rsid w:val="000D75CA"/>
    <w:rsid w:val="00105403"/>
    <w:rsid w:val="00130209"/>
    <w:rsid w:val="00154811"/>
    <w:rsid w:val="00182B9F"/>
    <w:rsid w:val="00241B76"/>
    <w:rsid w:val="0025211B"/>
    <w:rsid w:val="002615A2"/>
    <w:rsid w:val="002B5E8E"/>
    <w:rsid w:val="002D49B5"/>
    <w:rsid w:val="002F54FD"/>
    <w:rsid w:val="003D6A9B"/>
    <w:rsid w:val="003F0BBF"/>
    <w:rsid w:val="003F7C12"/>
    <w:rsid w:val="00400C12"/>
    <w:rsid w:val="00406989"/>
    <w:rsid w:val="00482534"/>
    <w:rsid w:val="00486E6D"/>
    <w:rsid w:val="004A592A"/>
    <w:rsid w:val="004C041B"/>
    <w:rsid w:val="004C5B82"/>
    <w:rsid w:val="004D14FF"/>
    <w:rsid w:val="005400F5"/>
    <w:rsid w:val="00581754"/>
    <w:rsid w:val="00594BBD"/>
    <w:rsid w:val="005E04AC"/>
    <w:rsid w:val="005F1AC7"/>
    <w:rsid w:val="005F71A8"/>
    <w:rsid w:val="00617CC8"/>
    <w:rsid w:val="0062279A"/>
    <w:rsid w:val="00623CAE"/>
    <w:rsid w:val="006727B4"/>
    <w:rsid w:val="00677F99"/>
    <w:rsid w:val="00680019"/>
    <w:rsid w:val="006A4849"/>
    <w:rsid w:val="006B2DF1"/>
    <w:rsid w:val="006E2DAA"/>
    <w:rsid w:val="006F635C"/>
    <w:rsid w:val="00720E26"/>
    <w:rsid w:val="007350A4"/>
    <w:rsid w:val="0076729C"/>
    <w:rsid w:val="00791B97"/>
    <w:rsid w:val="00794498"/>
    <w:rsid w:val="007F4981"/>
    <w:rsid w:val="0083163B"/>
    <w:rsid w:val="00844A50"/>
    <w:rsid w:val="00865322"/>
    <w:rsid w:val="008D54D0"/>
    <w:rsid w:val="009030E1"/>
    <w:rsid w:val="00924069"/>
    <w:rsid w:val="00951CD5"/>
    <w:rsid w:val="00990EC7"/>
    <w:rsid w:val="0099434C"/>
    <w:rsid w:val="009A4B1D"/>
    <w:rsid w:val="00A07863"/>
    <w:rsid w:val="00A14207"/>
    <w:rsid w:val="00A40596"/>
    <w:rsid w:val="00A702F6"/>
    <w:rsid w:val="00A8038B"/>
    <w:rsid w:val="00A87050"/>
    <w:rsid w:val="00A914C1"/>
    <w:rsid w:val="00AF6235"/>
    <w:rsid w:val="00B241DB"/>
    <w:rsid w:val="00B50D45"/>
    <w:rsid w:val="00B62A6B"/>
    <w:rsid w:val="00BB1A03"/>
    <w:rsid w:val="00BE1E20"/>
    <w:rsid w:val="00C010B0"/>
    <w:rsid w:val="00C22C18"/>
    <w:rsid w:val="00C31652"/>
    <w:rsid w:val="00C45F2A"/>
    <w:rsid w:val="00C9557F"/>
    <w:rsid w:val="00CB4A43"/>
    <w:rsid w:val="00CD3E6D"/>
    <w:rsid w:val="00CF62FD"/>
    <w:rsid w:val="00D07394"/>
    <w:rsid w:val="00D36502"/>
    <w:rsid w:val="00D40D4B"/>
    <w:rsid w:val="00D45FC8"/>
    <w:rsid w:val="00D72FCC"/>
    <w:rsid w:val="00DB63BA"/>
    <w:rsid w:val="00E10D27"/>
    <w:rsid w:val="00E22331"/>
    <w:rsid w:val="00E4770F"/>
    <w:rsid w:val="00E600D5"/>
    <w:rsid w:val="00E61198"/>
    <w:rsid w:val="00E846FD"/>
    <w:rsid w:val="00EA0FEB"/>
    <w:rsid w:val="00EB4DFB"/>
    <w:rsid w:val="00EB5FBC"/>
    <w:rsid w:val="00ED5411"/>
    <w:rsid w:val="00F27A3E"/>
    <w:rsid w:val="00F33142"/>
    <w:rsid w:val="00F60526"/>
    <w:rsid w:val="00F74366"/>
    <w:rsid w:val="00F83AE5"/>
    <w:rsid w:val="00FA399B"/>
    <w:rsid w:val="00FA6087"/>
    <w:rsid w:val="00FC26E5"/>
    <w:rsid w:val="00FC326B"/>
    <w:rsid w:val="00FE30AA"/>
    <w:rsid w:val="00FE4C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6C4FA"/>
  <w15:chartTrackingRefBased/>
  <w15:docId w15:val="{7365554C-A019-49F4-9718-89C800163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A43"/>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B4A43"/>
    <w:pPr>
      <w:ind w:left="720"/>
      <w:contextualSpacing/>
    </w:pPr>
  </w:style>
  <w:style w:type="paragraph" w:styleId="NormalWeb">
    <w:name w:val="Normal (Web)"/>
    <w:basedOn w:val="Normal"/>
    <w:uiPriority w:val="99"/>
    <w:unhideWhenUsed/>
    <w:rsid w:val="00CB4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CB4A43"/>
  </w:style>
  <w:style w:type="paragraph" w:styleId="BalloonText">
    <w:name w:val="Balloon Text"/>
    <w:basedOn w:val="Normal"/>
    <w:link w:val="BalloonTextChar"/>
    <w:uiPriority w:val="99"/>
    <w:semiHidden/>
    <w:unhideWhenUsed/>
    <w:rsid w:val="00ED54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5411"/>
    <w:rPr>
      <w:rFonts w:ascii="Segoe UI" w:hAnsi="Segoe UI" w:cs="Segoe UI"/>
      <w:sz w:val="18"/>
      <w:szCs w:val="18"/>
    </w:rPr>
  </w:style>
  <w:style w:type="paragraph" w:styleId="Header">
    <w:name w:val="header"/>
    <w:basedOn w:val="Normal"/>
    <w:link w:val="HeaderChar"/>
    <w:uiPriority w:val="99"/>
    <w:unhideWhenUsed/>
    <w:rsid w:val="00594B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4BBD"/>
  </w:style>
  <w:style w:type="paragraph" w:styleId="Footer">
    <w:name w:val="footer"/>
    <w:basedOn w:val="Normal"/>
    <w:link w:val="FooterChar"/>
    <w:uiPriority w:val="99"/>
    <w:unhideWhenUsed/>
    <w:rsid w:val="00594B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4B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4404509">
      <w:bodyDiv w:val="1"/>
      <w:marLeft w:val="0"/>
      <w:marRight w:val="0"/>
      <w:marTop w:val="0"/>
      <w:marBottom w:val="0"/>
      <w:divBdr>
        <w:top w:val="none" w:sz="0" w:space="0" w:color="auto"/>
        <w:left w:val="none" w:sz="0" w:space="0" w:color="auto"/>
        <w:bottom w:val="none" w:sz="0" w:space="0" w:color="auto"/>
        <w:right w:val="none" w:sz="0" w:space="0" w:color="auto"/>
      </w:divBdr>
    </w:div>
    <w:div w:id="482357403">
      <w:bodyDiv w:val="1"/>
      <w:marLeft w:val="0"/>
      <w:marRight w:val="0"/>
      <w:marTop w:val="0"/>
      <w:marBottom w:val="0"/>
      <w:divBdr>
        <w:top w:val="none" w:sz="0" w:space="0" w:color="auto"/>
        <w:left w:val="none" w:sz="0" w:space="0" w:color="auto"/>
        <w:bottom w:val="none" w:sz="0" w:space="0" w:color="auto"/>
        <w:right w:val="none" w:sz="0" w:space="0" w:color="auto"/>
      </w:divBdr>
    </w:div>
    <w:div w:id="692728773">
      <w:bodyDiv w:val="1"/>
      <w:marLeft w:val="0"/>
      <w:marRight w:val="0"/>
      <w:marTop w:val="0"/>
      <w:marBottom w:val="0"/>
      <w:divBdr>
        <w:top w:val="none" w:sz="0" w:space="0" w:color="auto"/>
        <w:left w:val="none" w:sz="0" w:space="0" w:color="auto"/>
        <w:bottom w:val="none" w:sz="0" w:space="0" w:color="auto"/>
        <w:right w:val="none" w:sz="0" w:space="0" w:color="auto"/>
      </w:divBdr>
    </w:div>
    <w:div w:id="974530319">
      <w:bodyDiv w:val="1"/>
      <w:marLeft w:val="0"/>
      <w:marRight w:val="0"/>
      <w:marTop w:val="0"/>
      <w:marBottom w:val="0"/>
      <w:divBdr>
        <w:top w:val="none" w:sz="0" w:space="0" w:color="auto"/>
        <w:left w:val="none" w:sz="0" w:space="0" w:color="auto"/>
        <w:bottom w:val="none" w:sz="0" w:space="0" w:color="auto"/>
        <w:right w:val="none" w:sz="0" w:space="0" w:color="auto"/>
      </w:divBdr>
      <w:divsChild>
        <w:div w:id="492525926">
          <w:marLeft w:val="0"/>
          <w:marRight w:val="0"/>
          <w:marTop w:val="0"/>
          <w:marBottom w:val="0"/>
          <w:divBdr>
            <w:top w:val="none" w:sz="0" w:space="0" w:color="auto"/>
            <w:left w:val="none" w:sz="0" w:space="0" w:color="auto"/>
            <w:bottom w:val="none" w:sz="0" w:space="0" w:color="auto"/>
            <w:right w:val="none" w:sz="0" w:space="0" w:color="auto"/>
          </w:divBdr>
        </w:div>
        <w:div w:id="1111097378">
          <w:marLeft w:val="0"/>
          <w:marRight w:val="0"/>
          <w:marTop w:val="0"/>
          <w:marBottom w:val="0"/>
          <w:divBdr>
            <w:top w:val="none" w:sz="0" w:space="0" w:color="auto"/>
            <w:left w:val="none" w:sz="0" w:space="0" w:color="auto"/>
            <w:bottom w:val="none" w:sz="0" w:space="0" w:color="auto"/>
            <w:right w:val="none" w:sz="0" w:space="0" w:color="auto"/>
          </w:divBdr>
        </w:div>
        <w:div w:id="615529177">
          <w:marLeft w:val="0"/>
          <w:marRight w:val="0"/>
          <w:marTop w:val="0"/>
          <w:marBottom w:val="0"/>
          <w:divBdr>
            <w:top w:val="none" w:sz="0" w:space="0" w:color="auto"/>
            <w:left w:val="none" w:sz="0" w:space="0" w:color="auto"/>
            <w:bottom w:val="none" w:sz="0" w:space="0" w:color="auto"/>
            <w:right w:val="none" w:sz="0" w:space="0" w:color="auto"/>
          </w:divBdr>
        </w:div>
      </w:divsChild>
    </w:div>
    <w:div w:id="1108041486">
      <w:bodyDiv w:val="1"/>
      <w:marLeft w:val="0"/>
      <w:marRight w:val="0"/>
      <w:marTop w:val="0"/>
      <w:marBottom w:val="0"/>
      <w:divBdr>
        <w:top w:val="none" w:sz="0" w:space="0" w:color="auto"/>
        <w:left w:val="none" w:sz="0" w:space="0" w:color="auto"/>
        <w:bottom w:val="none" w:sz="0" w:space="0" w:color="auto"/>
        <w:right w:val="none" w:sz="0" w:space="0" w:color="auto"/>
      </w:divBdr>
      <w:divsChild>
        <w:div w:id="1617053784">
          <w:marLeft w:val="0"/>
          <w:marRight w:val="0"/>
          <w:marTop w:val="0"/>
          <w:marBottom w:val="0"/>
          <w:divBdr>
            <w:top w:val="none" w:sz="0" w:space="0" w:color="auto"/>
            <w:left w:val="none" w:sz="0" w:space="0" w:color="auto"/>
            <w:bottom w:val="none" w:sz="0" w:space="0" w:color="auto"/>
            <w:right w:val="none" w:sz="0" w:space="0" w:color="auto"/>
          </w:divBdr>
        </w:div>
        <w:div w:id="2081554814">
          <w:marLeft w:val="0"/>
          <w:marRight w:val="0"/>
          <w:marTop w:val="0"/>
          <w:marBottom w:val="0"/>
          <w:divBdr>
            <w:top w:val="none" w:sz="0" w:space="0" w:color="auto"/>
            <w:left w:val="none" w:sz="0" w:space="0" w:color="auto"/>
            <w:bottom w:val="none" w:sz="0" w:space="0" w:color="auto"/>
            <w:right w:val="none" w:sz="0" w:space="0" w:color="auto"/>
          </w:divBdr>
        </w:div>
        <w:div w:id="1466048850">
          <w:marLeft w:val="0"/>
          <w:marRight w:val="0"/>
          <w:marTop w:val="0"/>
          <w:marBottom w:val="0"/>
          <w:divBdr>
            <w:top w:val="none" w:sz="0" w:space="0" w:color="auto"/>
            <w:left w:val="none" w:sz="0" w:space="0" w:color="auto"/>
            <w:bottom w:val="none" w:sz="0" w:space="0" w:color="auto"/>
            <w:right w:val="none" w:sz="0" w:space="0" w:color="auto"/>
          </w:divBdr>
        </w:div>
        <w:div w:id="1432552069">
          <w:marLeft w:val="0"/>
          <w:marRight w:val="0"/>
          <w:marTop w:val="0"/>
          <w:marBottom w:val="0"/>
          <w:divBdr>
            <w:top w:val="none" w:sz="0" w:space="0" w:color="auto"/>
            <w:left w:val="none" w:sz="0" w:space="0" w:color="auto"/>
            <w:bottom w:val="none" w:sz="0" w:space="0" w:color="auto"/>
            <w:right w:val="none" w:sz="0" w:space="0" w:color="auto"/>
          </w:divBdr>
        </w:div>
        <w:div w:id="826937810">
          <w:marLeft w:val="0"/>
          <w:marRight w:val="0"/>
          <w:marTop w:val="0"/>
          <w:marBottom w:val="0"/>
          <w:divBdr>
            <w:top w:val="none" w:sz="0" w:space="0" w:color="auto"/>
            <w:left w:val="none" w:sz="0" w:space="0" w:color="auto"/>
            <w:bottom w:val="none" w:sz="0" w:space="0" w:color="auto"/>
            <w:right w:val="none" w:sz="0" w:space="0" w:color="auto"/>
          </w:divBdr>
        </w:div>
      </w:divsChild>
    </w:div>
    <w:div w:id="1477918520">
      <w:bodyDiv w:val="1"/>
      <w:marLeft w:val="0"/>
      <w:marRight w:val="0"/>
      <w:marTop w:val="0"/>
      <w:marBottom w:val="0"/>
      <w:divBdr>
        <w:top w:val="none" w:sz="0" w:space="0" w:color="auto"/>
        <w:left w:val="none" w:sz="0" w:space="0" w:color="auto"/>
        <w:bottom w:val="none" w:sz="0" w:space="0" w:color="auto"/>
        <w:right w:val="none" w:sz="0" w:space="0" w:color="auto"/>
      </w:divBdr>
    </w:div>
    <w:div w:id="1917202770">
      <w:bodyDiv w:val="1"/>
      <w:marLeft w:val="0"/>
      <w:marRight w:val="0"/>
      <w:marTop w:val="0"/>
      <w:marBottom w:val="0"/>
      <w:divBdr>
        <w:top w:val="none" w:sz="0" w:space="0" w:color="auto"/>
        <w:left w:val="none" w:sz="0" w:space="0" w:color="auto"/>
        <w:bottom w:val="none" w:sz="0" w:space="0" w:color="auto"/>
        <w:right w:val="none" w:sz="0" w:space="0" w:color="auto"/>
      </w:divBdr>
      <w:divsChild>
        <w:div w:id="103422969">
          <w:marLeft w:val="0"/>
          <w:marRight w:val="0"/>
          <w:marTop w:val="0"/>
          <w:marBottom w:val="0"/>
          <w:divBdr>
            <w:top w:val="none" w:sz="0" w:space="0" w:color="auto"/>
            <w:left w:val="none" w:sz="0" w:space="0" w:color="auto"/>
            <w:bottom w:val="none" w:sz="0" w:space="0" w:color="auto"/>
            <w:right w:val="none" w:sz="0" w:space="0" w:color="auto"/>
          </w:divBdr>
        </w:div>
        <w:div w:id="996541640">
          <w:marLeft w:val="0"/>
          <w:marRight w:val="0"/>
          <w:marTop w:val="0"/>
          <w:marBottom w:val="0"/>
          <w:divBdr>
            <w:top w:val="none" w:sz="0" w:space="0" w:color="auto"/>
            <w:left w:val="none" w:sz="0" w:space="0" w:color="auto"/>
            <w:bottom w:val="none" w:sz="0" w:space="0" w:color="auto"/>
            <w:right w:val="none" w:sz="0" w:space="0" w:color="auto"/>
          </w:divBdr>
        </w:div>
        <w:div w:id="16981965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763</Nr_x002e__x0020_akti>
    <Data_x0020_e_x0020_Krijimit xmlns="0e656187-b300-4fb0-8bf4-3a50f872073c">2026-10-08T13:27:14Z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2026-10-08T00:00:00Z</Date_x0020_protokolli>
    <Titulli xmlns="0e656187-b300-4fb0-8bf4-3a50f872073c">Për disa ndryshime dhe shtesa në vendimin nr.662, datë 13.10.2022, të Këshillit të Ministrave, “Për shpronësimin, për interes publik, të pronarëve  të pasurive të paluajtshme, pronë private, që preken nga ndërtimi i segmentit rrugor “Rishikimi i projektit për segmentin rrugor të vazhdimit të ‘Unazës  së madhe’ Tiranë nga ‘Sheshi Shqiponja’ – ‘Bulevardi i ri’ dhe ‘Rikualifikimi i ‘Unazës lindore’ për lotet 4, 5, 6”, të ndryshuar”    </Titulli>
    <Modifikuesi xmlns="0e656187-b300-4fb0-8bf4-3a50f872073c">elnejda.cokalli</Modifikuesi>
    <Nr_x002e__x0020_prot_x0020_QBZ xmlns="0e656187-b300-4fb0-8bf4-3a50f872073c">2124</Nr_x002e__x0020_prot_x0020_QBZ>
    <Data_x0020_e_x0020_Modifikimit xmlns="0e656187-b300-4fb0-8bf4-3a50f872073c">2026-10-09T07:30:39Z</Data_x0020_e_x0020_Modifikimit>
    <Dekretuar xmlns="0e656187-b300-4fb0-8bf4-3a50f872073c">false</Dekretuar>
    <Data xmlns="0e656187-b300-4fb0-8bf4-3a50f872073c">2026-10-07T00:00:00Z</Data>
    <Nr_x002e__x0020_protokolli_x0020_i_x0020_aktit xmlns="0e656187-b300-4fb0-8bf4-3a50f872073c">5765/1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9403D867C3145DB941D9FB0A1F6AB4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3142610-B803-432F-9B46-F52A32C502A3}">
  <ds:schemaRefs>
    <ds:schemaRef ds:uri="http://purl.org/dc/terms/"/>
    <ds:schemaRef ds:uri="http://purl.org/dc/dcmitype/"/>
    <ds:schemaRef ds:uri="0e656187-b300-4fb0-8bf4-3a50f872073c"/>
    <ds:schemaRef ds:uri="http://schemas.microsoft.com/office/2006/metadata/properties"/>
    <ds:schemaRef ds:uri="http://schemas.microsoft.com/office/2006/documentManagement/types"/>
    <ds:schemaRef ds:uri="http://www.w3.org/XML/1998/namespace"/>
    <ds:schemaRef ds:uri="http://purl.org/dc/elements/1.1/"/>
    <ds:schemaRef ds:uri="http://schemas.openxmlformats.org/package/2006/metadata/core-properties"/>
  </ds:schemaRefs>
</ds:datastoreItem>
</file>

<file path=customXml/itemProps2.xml><?xml version="1.0" encoding="utf-8"?>
<ds:datastoreItem xmlns:ds="http://schemas.openxmlformats.org/officeDocument/2006/customXml" ds:itemID="{F1A94C03-B761-4555-95CD-8021A795A649}">
  <ds:schemaRefs>
    <ds:schemaRef ds:uri="http://schemas.microsoft.com/sharepoint/v3/contenttype/forms"/>
  </ds:schemaRefs>
</ds:datastoreItem>
</file>

<file path=customXml/itemProps3.xml><?xml version="1.0" encoding="utf-8"?>
<ds:datastoreItem xmlns:ds="http://schemas.openxmlformats.org/officeDocument/2006/customXml" ds:itemID="{E9523D49-9789-40BD-BEBF-FDBA2F0F3F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640</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Për disa ndryshime dhe shtesa në vendimin nr.662, datë 13.10.2022, të Këshillit të Ministrave, “Për shpronësimin, për interes publik, të pronarëve të pasurive të paluajtshme, pronë private, që preken nga ndërtimi i segmentit rrugor “Rishikimi i projektit </vt:lpstr>
    </vt:vector>
  </TitlesOfParts>
  <Company/>
  <LinksUpToDate>false</LinksUpToDate>
  <CharactersWithSpaces>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nr.662, datë 13.10.2022, të Këshillit të Ministrave, “Për shpronësimin, për interes publik, të pronarëve të pasurive të paluajtshme, pronë private, që preken nga ndërtimi i segmentit rrugor “Rishikimi i projektit për segmentin rrugor të vazhdimit të ‘Unazës së madhe’ Tiranë nga ‘Sheshi Shqiponja’ – ‘Bulevardi i ri’ dhe ‘Rikualifikimi i ‘Unazës lindore’ për lotet 4, 5, 6”, të ndryshuar”</dc:title>
  <dc:creator>Ilirjana Hasanllari</dc:creator>
  <cp:lastModifiedBy>fjora.cahani</cp:lastModifiedBy>
  <cp:revision>2</cp:revision>
  <cp:lastPrinted>2026-10-06T16:39:00Z</cp:lastPrinted>
  <dcterms:created xsi:type="dcterms:W3CDTF">2026-10-09T07:55:00Z</dcterms:created>
  <dcterms:modified xsi:type="dcterms:W3CDTF">2026-10-09T07:55:00Z</dcterms:modified>
</cp:coreProperties>
</file>